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F43" w:rsidRDefault="00D30F43" w:rsidP="00544A16">
      <w:pPr>
        <w:jc w:val="center"/>
        <w:rPr>
          <w:rFonts w:ascii="Times New Roman" w:hAnsi="Times New Roman" w:cs="Times New Roman"/>
          <w:b/>
          <w:sz w:val="24"/>
          <w:szCs w:val="24"/>
        </w:rPr>
      </w:pPr>
      <w:bookmarkStart w:id="0" w:name="_GoBack"/>
      <w:bookmarkEnd w:id="0"/>
    </w:p>
    <w:p w:rsidR="00544A16" w:rsidRPr="00544A16" w:rsidRDefault="00544A16" w:rsidP="00544A16">
      <w:pPr>
        <w:jc w:val="center"/>
        <w:rPr>
          <w:rFonts w:ascii="Times New Roman" w:hAnsi="Times New Roman" w:cs="Times New Roman"/>
          <w:b/>
          <w:sz w:val="24"/>
          <w:szCs w:val="24"/>
        </w:rPr>
      </w:pPr>
      <w:r w:rsidRPr="00544A16">
        <w:rPr>
          <w:rFonts w:ascii="Times New Roman" w:hAnsi="Times New Roman" w:cs="Times New Roman"/>
          <w:b/>
          <w:sz w:val="24"/>
          <w:szCs w:val="24"/>
        </w:rPr>
        <w:t xml:space="preserve"> DIRITTO UNIONE EUROPEA E DIRITTI FONDAMENTALI</w:t>
      </w:r>
    </w:p>
    <w:p w:rsidR="00544A16" w:rsidRPr="00544A16" w:rsidRDefault="00544A16" w:rsidP="00544A16">
      <w:pPr>
        <w:jc w:val="center"/>
        <w:rPr>
          <w:rFonts w:ascii="Times New Roman" w:hAnsi="Times New Roman" w:cs="Times New Roman"/>
          <w:b/>
          <w:sz w:val="24"/>
          <w:szCs w:val="24"/>
        </w:rPr>
      </w:pPr>
    </w:p>
    <w:p w:rsidR="00544A16" w:rsidRDefault="00544A16" w:rsidP="00544A16">
      <w:pPr>
        <w:ind w:firstLine="708"/>
        <w:jc w:val="both"/>
        <w:rPr>
          <w:rFonts w:ascii="Times New Roman" w:hAnsi="Times New Roman" w:cs="Times New Roman"/>
          <w:sz w:val="24"/>
          <w:szCs w:val="24"/>
        </w:rPr>
      </w:pPr>
      <w:r w:rsidRPr="00544A16">
        <w:rPr>
          <w:rFonts w:ascii="Times New Roman" w:hAnsi="Times New Roman" w:cs="Times New Roman"/>
          <w:b/>
          <w:sz w:val="24"/>
          <w:szCs w:val="24"/>
        </w:rPr>
        <w:t xml:space="preserve">1 - </w:t>
      </w:r>
      <w:r w:rsidRPr="00544A16">
        <w:rPr>
          <w:rFonts w:ascii="Times New Roman" w:hAnsi="Times New Roman" w:cs="Times New Roman"/>
          <w:sz w:val="24"/>
          <w:szCs w:val="24"/>
        </w:rPr>
        <w:t xml:space="preserve">La </w:t>
      </w:r>
      <w:r w:rsidRPr="00544A16">
        <w:rPr>
          <w:rFonts w:ascii="Times New Roman" w:hAnsi="Times New Roman" w:cs="Times New Roman"/>
          <w:b/>
          <w:sz w:val="24"/>
          <w:szCs w:val="24"/>
        </w:rPr>
        <w:t>tutela dei diritti fondamentali</w:t>
      </w:r>
      <w:r w:rsidRPr="00544A16">
        <w:rPr>
          <w:rFonts w:ascii="Times New Roman" w:hAnsi="Times New Roman" w:cs="Times New Roman"/>
          <w:sz w:val="24"/>
          <w:szCs w:val="24"/>
        </w:rPr>
        <w:t xml:space="preserve"> gioca un ruolo fondamentale oggi sia nel diritto dell’UE che nel diritto in generale, perché non c’è dubbio che</w:t>
      </w:r>
      <w:r>
        <w:rPr>
          <w:rFonts w:ascii="Times New Roman" w:hAnsi="Times New Roman" w:cs="Times New Roman"/>
          <w:sz w:val="24"/>
          <w:szCs w:val="24"/>
        </w:rPr>
        <w:t>,</w:t>
      </w:r>
      <w:r w:rsidRPr="00544A16">
        <w:rPr>
          <w:rFonts w:ascii="Times New Roman" w:hAnsi="Times New Roman" w:cs="Times New Roman"/>
          <w:sz w:val="24"/>
          <w:szCs w:val="24"/>
        </w:rPr>
        <w:t xml:space="preserve"> accanto alla </w:t>
      </w:r>
      <w:r w:rsidRPr="00544A16">
        <w:rPr>
          <w:rFonts w:ascii="Times New Roman" w:hAnsi="Times New Roman" w:cs="Times New Roman"/>
          <w:b/>
          <w:sz w:val="24"/>
          <w:szCs w:val="24"/>
        </w:rPr>
        <w:t xml:space="preserve">democratizzazione </w:t>
      </w:r>
      <w:r w:rsidRPr="00544A16">
        <w:rPr>
          <w:rFonts w:ascii="Times New Roman" w:hAnsi="Times New Roman" w:cs="Times New Roman"/>
          <w:sz w:val="24"/>
          <w:szCs w:val="24"/>
        </w:rPr>
        <w:t xml:space="preserve">dei rapporti all’interno degli ordinamenti che </w:t>
      </w:r>
      <w:r>
        <w:rPr>
          <w:rFonts w:ascii="Times New Roman" w:hAnsi="Times New Roman" w:cs="Times New Roman"/>
          <w:sz w:val="24"/>
          <w:szCs w:val="24"/>
        </w:rPr>
        <w:t xml:space="preserve">è il portato di una sempre maggior </w:t>
      </w:r>
      <w:r w:rsidRPr="00544A16">
        <w:rPr>
          <w:rFonts w:ascii="Times New Roman" w:hAnsi="Times New Roman" w:cs="Times New Roman"/>
          <w:b/>
          <w:sz w:val="24"/>
          <w:szCs w:val="24"/>
        </w:rPr>
        <w:t>rafforzamento della cd</w:t>
      </w:r>
      <w:r w:rsidRPr="00544A16">
        <w:rPr>
          <w:rFonts w:ascii="Times New Roman" w:hAnsi="Times New Roman" w:cs="Times New Roman"/>
          <w:b/>
          <w:i/>
          <w:sz w:val="24"/>
          <w:szCs w:val="24"/>
        </w:rPr>
        <w:t>. Rule of Law</w:t>
      </w:r>
      <w:r>
        <w:rPr>
          <w:rFonts w:ascii="Times New Roman" w:hAnsi="Times New Roman" w:cs="Times New Roman"/>
          <w:sz w:val="24"/>
          <w:szCs w:val="24"/>
        </w:rPr>
        <w:t xml:space="preserve">, si è sviluppata coerentemente –con una pervasività senza precedenti- una dottrina dei diritti fondamentali che è frutto in qualche modo della giusta </w:t>
      </w:r>
      <w:r w:rsidRPr="00D30F43">
        <w:rPr>
          <w:rFonts w:ascii="Times New Roman" w:hAnsi="Times New Roman" w:cs="Times New Roman"/>
          <w:b/>
          <w:sz w:val="24"/>
          <w:szCs w:val="24"/>
        </w:rPr>
        <w:t xml:space="preserve">enfasi </w:t>
      </w:r>
      <w:r w:rsidR="0056326F">
        <w:rPr>
          <w:rFonts w:ascii="Times New Roman" w:hAnsi="Times New Roman" w:cs="Times New Roman"/>
          <w:b/>
          <w:sz w:val="24"/>
          <w:szCs w:val="24"/>
        </w:rPr>
        <w:t xml:space="preserve">riservata </w:t>
      </w:r>
      <w:r w:rsidRPr="00D30F43">
        <w:rPr>
          <w:rFonts w:ascii="Times New Roman" w:hAnsi="Times New Roman" w:cs="Times New Roman"/>
          <w:b/>
          <w:sz w:val="24"/>
          <w:szCs w:val="24"/>
        </w:rPr>
        <w:t>alla persona</w:t>
      </w:r>
      <w:r>
        <w:rPr>
          <w:rFonts w:ascii="Times New Roman" w:hAnsi="Times New Roman" w:cs="Times New Roman"/>
          <w:sz w:val="24"/>
          <w:szCs w:val="24"/>
        </w:rPr>
        <w:t xml:space="preserve"> in tutte le sue manifestazioni, vuoi nella sfera individuale</w:t>
      </w:r>
      <w:r w:rsidR="0056326F">
        <w:rPr>
          <w:rFonts w:ascii="Times New Roman" w:hAnsi="Times New Roman" w:cs="Times New Roman"/>
          <w:sz w:val="24"/>
          <w:szCs w:val="24"/>
        </w:rPr>
        <w:t>,</w:t>
      </w:r>
      <w:r>
        <w:rPr>
          <w:rFonts w:ascii="Times New Roman" w:hAnsi="Times New Roman" w:cs="Times New Roman"/>
          <w:sz w:val="24"/>
          <w:szCs w:val="24"/>
        </w:rPr>
        <w:t xml:space="preserve"> vuoi in quella sociale, politica e lavorativa.</w:t>
      </w:r>
    </w:p>
    <w:p w:rsidR="00544A16" w:rsidRDefault="00544A16" w:rsidP="00544A16">
      <w:pPr>
        <w:ind w:firstLine="708"/>
        <w:jc w:val="both"/>
        <w:rPr>
          <w:rFonts w:ascii="Times New Roman" w:hAnsi="Times New Roman" w:cs="Times New Roman"/>
          <w:sz w:val="24"/>
          <w:szCs w:val="24"/>
        </w:rPr>
      </w:pPr>
      <w:r w:rsidRPr="00D30F43">
        <w:rPr>
          <w:rFonts w:ascii="Times New Roman" w:hAnsi="Times New Roman" w:cs="Times New Roman"/>
          <w:b/>
          <w:sz w:val="24"/>
          <w:szCs w:val="24"/>
        </w:rPr>
        <w:t>2</w:t>
      </w:r>
      <w:r>
        <w:rPr>
          <w:rFonts w:ascii="Times New Roman" w:hAnsi="Times New Roman" w:cs="Times New Roman"/>
          <w:b/>
          <w:sz w:val="24"/>
          <w:szCs w:val="24"/>
        </w:rPr>
        <w:t xml:space="preserve"> </w:t>
      </w:r>
      <w:r w:rsidR="00D30F43">
        <w:rPr>
          <w:rFonts w:ascii="Times New Roman" w:hAnsi="Times New Roman" w:cs="Times New Roman"/>
          <w:b/>
          <w:sz w:val="24"/>
          <w:szCs w:val="24"/>
        </w:rPr>
        <w:t>–</w:t>
      </w:r>
      <w:r>
        <w:rPr>
          <w:rFonts w:ascii="Times New Roman" w:hAnsi="Times New Roman" w:cs="Times New Roman"/>
          <w:b/>
          <w:sz w:val="24"/>
          <w:szCs w:val="24"/>
        </w:rPr>
        <w:t xml:space="preserve"> </w:t>
      </w:r>
      <w:r w:rsidR="00D30F43">
        <w:rPr>
          <w:rFonts w:ascii="Times New Roman" w:hAnsi="Times New Roman" w:cs="Times New Roman"/>
          <w:sz w:val="24"/>
          <w:szCs w:val="24"/>
        </w:rPr>
        <w:t>Q</w:t>
      </w:r>
      <w:r w:rsidR="00D30F43" w:rsidRPr="00D30F43">
        <w:rPr>
          <w:rFonts w:ascii="Times New Roman" w:hAnsi="Times New Roman" w:cs="Times New Roman"/>
          <w:sz w:val="24"/>
          <w:szCs w:val="24"/>
        </w:rPr>
        <w:t>uest</w:t>
      </w:r>
      <w:r w:rsidR="00D30F43">
        <w:rPr>
          <w:rFonts w:ascii="Times New Roman" w:hAnsi="Times New Roman" w:cs="Times New Roman"/>
          <w:sz w:val="24"/>
          <w:szCs w:val="24"/>
        </w:rPr>
        <w:t xml:space="preserve">o tipo di tutela è strettamente connessa alla dimensione costituzionale dell’ordinamento giuridico, dal momento che, nei sistemi giuridici moderni, è generalmente nella Costituzione –che è la </w:t>
      </w:r>
      <w:r w:rsidR="00D30F43" w:rsidRPr="00D30F43">
        <w:rPr>
          <w:rFonts w:ascii="Times New Roman" w:hAnsi="Times New Roman" w:cs="Times New Roman"/>
          <w:i/>
          <w:sz w:val="24"/>
          <w:szCs w:val="24"/>
        </w:rPr>
        <w:t>Grundnorm</w:t>
      </w:r>
      <w:r w:rsidR="00D30F43">
        <w:rPr>
          <w:rFonts w:ascii="Times New Roman" w:hAnsi="Times New Roman" w:cs="Times New Roman"/>
          <w:sz w:val="24"/>
          <w:szCs w:val="24"/>
        </w:rPr>
        <w:t>, la norma fondamentale- che si rinviene la sua sede, come una sorta di momento fondativo che legittima l’esistenza stessa del potere e dell’autorità.</w:t>
      </w:r>
    </w:p>
    <w:p w:rsidR="002D4C39" w:rsidRDefault="00D30F43" w:rsidP="002D4C39">
      <w:pPr>
        <w:ind w:firstLine="708"/>
        <w:jc w:val="both"/>
        <w:rPr>
          <w:rFonts w:ascii="Times New Roman" w:hAnsi="Times New Roman" w:cs="Times New Roman"/>
          <w:bCs/>
          <w:iCs/>
          <w:sz w:val="24"/>
          <w:szCs w:val="24"/>
        </w:rPr>
      </w:pPr>
      <w:r w:rsidRPr="00D30F43">
        <w:rPr>
          <w:rFonts w:ascii="Times New Roman" w:hAnsi="Times New Roman" w:cs="Times New Roman"/>
          <w:b/>
          <w:sz w:val="24"/>
          <w:szCs w:val="24"/>
        </w:rPr>
        <w:t>3</w:t>
      </w:r>
      <w:r>
        <w:rPr>
          <w:rFonts w:ascii="Times New Roman" w:hAnsi="Times New Roman" w:cs="Times New Roman"/>
          <w:sz w:val="24"/>
          <w:szCs w:val="24"/>
        </w:rPr>
        <w:t xml:space="preserve"> – Basterebbe ricordare la celebre affermazione che si ritrova nella dichiarazione dei diritti dell’uomo e del cittadino</w:t>
      </w:r>
      <w:r w:rsidR="002D4C39">
        <w:rPr>
          <w:rFonts w:ascii="Times New Roman" w:hAnsi="Times New Roman" w:cs="Times New Roman"/>
          <w:sz w:val="24"/>
          <w:szCs w:val="24"/>
        </w:rPr>
        <w:t xml:space="preserve"> (a</w:t>
      </w:r>
      <w:r w:rsidR="002D4C39" w:rsidRPr="002D4C39">
        <w:rPr>
          <w:rFonts w:ascii="Times New Roman" w:hAnsi="Times New Roman" w:cs="Times New Roman"/>
          <w:sz w:val="24"/>
          <w:szCs w:val="24"/>
        </w:rPr>
        <w:t xml:space="preserve">rticle 16 de la </w:t>
      </w:r>
      <w:r w:rsidR="002D4C39" w:rsidRPr="00007624">
        <w:rPr>
          <w:rFonts w:ascii="Times New Roman" w:hAnsi="Times New Roman" w:cs="Times New Roman"/>
          <w:i/>
          <w:sz w:val="24"/>
          <w:szCs w:val="24"/>
        </w:rPr>
        <w:t>Déclaration des droits de l'homme et du citoyen du 26 août</w:t>
      </w:r>
      <w:r w:rsidR="002D4C39" w:rsidRPr="002D4C39">
        <w:rPr>
          <w:rFonts w:ascii="Times New Roman" w:hAnsi="Times New Roman" w:cs="Times New Roman"/>
          <w:sz w:val="24"/>
          <w:szCs w:val="24"/>
        </w:rPr>
        <w:t xml:space="preserve"> 1789</w:t>
      </w:r>
      <w:r w:rsidR="002D4C39">
        <w:rPr>
          <w:rFonts w:ascii="Times New Roman" w:hAnsi="Times New Roman" w:cs="Times New Roman"/>
          <w:sz w:val="24"/>
          <w:szCs w:val="24"/>
        </w:rPr>
        <w:t>)</w:t>
      </w:r>
      <w:r>
        <w:rPr>
          <w:rFonts w:ascii="Times New Roman" w:hAnsi="Times New Roman" w:cs="Times New Roman"/>
          <w:sz w:val="24"/>
          <w:szCs w:val="24"/>
        </w:rPr>
        <w:t xml:space="preserve">, secondo cui </w:t>
      </w:r>
      <w:r w:rsidR="002D4C39">
        <w:rPr>
          <w:rFonts w:ascii="Times New Roman" w:hAnsi="Times New Roman" w:cs="Times New Roman"/>
          <w:b/>
          <w:bCs/>
          <w:i/>
          <w:iCs/>
          <w:sz w:val="24"/>
          <w:szCs w:val="24"/>
        </w:rPr>
        <w:t>“t</w:t>
      </w:r>
      <w:r w:rsidR="002D4C39" w:rsidRPr="002D4C39">
        <w:rPr>
          <w:rFonts w:ascii="Times New Roman" w:hAnsi="Times New Roman" w:cs="Times New Roman"/>
          <w:b/>
          <w:bCs/>
          <w:i/>
          <w:iCs/>
          <w:sz w:val="24"/>
          <w:szCs w:val="24"/>
        </w:rPr>
        <w:t>oute société dans laquelle la garantie des droits n'est pas assurée ni la séparation des pouvoirs détermi</w:t>
      </w:r>
      <w:r w:rsidR="002D4C39">
        <w:rPr>
          <w:rFonts w:ascii="Times New Roman" w:hAnsi="Times New Roman" w:cs="Times New Roman"/>
          <w:b/>
          <w:bCs/>
          <w:i/>
          <w:iCs/>
          <w:sz w:val="24"/>
          <w:szCs w:val="24"/>
        </w:rPr>
        <w:t>née, n'a point de Constitution</w:t>
      </w:r>
      <w:r w:rsidR="002D4C39" w:rsidRPr="002D4C39">
        <w:rPr>
          <w:rFonts w:ascii="Times New Roman" w:hAnsi="Times New Roman" w:cs="Times New Roman"/>
          <w:b/>
          <w:bCs/>
          <w:iCs/>
          <w:sz w:val="24"/>
          <w:szCs w:val="24"/>
        </w:rPr>
        <w:t xml:space="preserve">”. </w:t>
      </w:r>
      <w:r w:rsidR="002D4C39" w:rsidRPr="002D4C39">
        <w:rPr>
          <w:rFonts w:ascii="Times New Roman" w:hAnsi="Times New Roman" w:cs="Times New Roman"/>
          <w:bCs/>
          <w:iCs/>
          <w:sz w:val="24"/>
          <w:szCs w:val="24"/>
        </w:rPr>
        <w:t xml:space="preserve">Insomma, nel costituzionalismo moderno, </w:t>
      </w:r>
      <w:r w:rsidR="002D4C39">
        <w:rPr>
          <w:rFonts w:ascii="Times New Roman" w:hAnsi="Times New Roman" w:cs="Times New Roman"/>
          <w:bCs/>
          <w:iCs/>
          <w:sz w:val="24"/>
          <w:szCs w:val="24"/>
        </w:rPr>
        <w:t>l</w:t>
      </w:r>
      <w:r w:rsidR="002D4C39" w:rsidRPr="002D4C39">
        <w:rPr>
          <w:rFonts w:ascii="Times New Roman" w:hAnsi="Times New Roman" w:cs="Times New Roman"/>
          <w:bCs/>
          <w:iCs/>
          <w:sz w:val="24"/>
          <w:szCs w:val="24"/>
        </w:rPr>
        <w:t xml:space="preserve">a garanzia dei diritti </w:t>
      </w:r>
      <w:r w:rsidR="0056326F">
        <w:rPr>
          <w:rFonts w:ascii="Times New Roman" w:hAnsi="Times New Roman" w:cs="Times New Roman"/>
          <w:bCs/>
          <w:iCs/>
          <w:sz w:val="24"/>
          <w:szCs w:val="24"/>
        </w:rPr>
        <w:t xml:space="preserve">della persona </w:t>
      </w:r>
      <w:r w:rsidR="002D4C39" w:rsidRPr="002D4C39">
        <w:rPr>
          <w:rFonts w:ascii="Times New Roman" w:hAnsi="Times New Roman" w:cs="Times New Roman"/>
          <w:bCs/>
          <w:iCs/>
          <w:sz w:val="24"/>
          <w:szCs w:val="24"/>
        </w:rPr>
        <w:t>viene addirittura prima</w:t>
      </w:r>
      <w:r w:rsidR="002D4C39">
        <w:rPr>
          <w:rFonts w:ascii="Times New Roman" w:hAnsi="Times New Roman" w:cs="Times New Roman"/>
          <w:bCs/>
          <w:iCs/>
          <w:sz w:val="24"/>
          <w:szCs w:val="24"/>
        </w:rPr>
        <w:t xml:space="preserve"> della separazione dei poteri, quasi a ricordare che certi diritti vengono prima dello Stato (la stessa </w:t>
      </w:r>
      <w:r w:rsidR="002D4C39" w:rsidRPr="002D4C39">
        <w:rPr>
          <w:rFonts w:ascii="Times New Roman" w:hAnsi="Times New Roman" w:cs="Times New Roman"/>
          <w:bCs/>
          <w:i/>
          <w:iCs/>
          <w:sz w:val="24"/>
          <w:szCs w:val="24"/>
        </w:rPr>
        <w:t>Grundnorm</w:t>
      </w:r>
      <w:r w:rsidR="002D4C39">
        <w:rPr>
          <w:rFonts w:ascii="Times New Roman" w:hAnsi="Times New Roman" w:cs="Times New Roman"/>
          <w:bCs/>
          <w:iCs/>
          <w:sz w:val="24"/>
          <w:szCs w:val="24"/>
        </w:rPr>
        <w:t xml:space="preserve"> tedesca, ad esempio, distingue all’art. 20, fra </w:t>
      </w:r>
      <w:r w:rsidR="002D4C39" w:rsidRPr="002D4C39">
        <w:rPr>
          <w:rFonts w:ascii="Times New Roman" w:hAnsi="Times New Roman" w:cs="Times New Roman"/>
          <w:bCs/>
          <w:i/>
          <w:iCs/>
          <w:sz w:val="24"/>
          <w:szCs w:val="24"/>
        </w:rPr>
        <w:t>Recht</w:t>
      </w:r>
      <w:r w:rsidR="002D4C39">
        <w:rPr>
          <w:rFonts w:ascii="Times New Roman" w:hAnsi="Times New Roman" w:cs="Times New Roman"/>
          <w:bCs/>
          <w:iCs/>
          <w:sz w:val="24"/>
          <w:szCs w:val="24"/>
        </w:rPr>
        <w:t xml:space="preserve"> e </w:t>
      </w:r>
      <w:r w:rsidR="002D4C39" w:rsidRPr="002D4C39">
        <w:rPr>
          <w:rFonts w:ascii="Times New Roman" w:hAnsi="Times New Roman" w:cs="Times New Roman"/>
          <w:bCs/>
          <w:i/>
          <w:iCs/>
          <w:sz w:val="24"/>
          <w:szCs w:val="24"/>
        </w:rPr>
        <w:t>Gesetz</w:t>
      </w:r>
      <w:r w:rsidR="002D4C39">
        <w:rPr>
          <w:rFonts w:ascii="Times New Roman" w:hAnsi="Times New Roman" w:cs="Times New Roman"/>
          <w:bCs/>
          <w:iCs/>
          <w:sz w:val="24"/>
          <w:szCs w:val="24"/>
        </w:rPr>
        <w:t>: “</w:t>
      </w:r>
      <w:r w:rsidR="002D4C39" w:rsidRPr="002D4C39">
        <w:rPr>
          <w:rFonts w:ascii="Times New Roman" w:hAnsi="Times New Roman" w:cs="Times New Roman"/>
          <w:bCs/>
          <w:i/>
          <w:iCs/>
          <w:sz w:val="24"/>
          <w:szCs w:val="24"/>
        </w:rPr>
        <w:t>Die Gesetzgebung ist an die verfassungsmäßige Ordnung, die vollziehende Gewalt und die Rechtsprechung sind an Gesetz und Recht gebunden</w:t>
      </w:r>
      <w:r w:rsidR="002D4C39">
        <w:rPr>
          <w:rFonts w:ascii="Times New Roman" w:hAnsi="Times New Roman" w:cs="Times New Roman"/>
          <w:bCs/>
          <w:iCs/>
          <w:sz w:val="24"/>
          <w:szCs w:val="24"/>
        </w:rPr>
        <w:t>”).</w:t>
      </w:r>
    </w:p>
    <w:p w:rsidR="00007624" w:rsidRDefault="00007624" w:rsidP="002D4C39">
      <w:pPr>
        <w:ind w:firstLine="708"/>
        <w:jc w:val="both"/>
        <w:rPr>
          <w:rFonts w:ascii="Times New Roman" w:hAnsi="Times New Roman" w:cs="Times New Roman"/>
          <w:bCs/>
          <w:iCs/>
          <w:sz w:val="24"/>
          <w:szCs w:val="24"/>
        </w:rPr>
      </w:pPr>
      <w:r w:rsidRPr="00423AD0">
        <w:rPr>
          <w:rFonts w:ascii="Times New Roman" w:hAnsi="Times New Roman" w:cs="Times New Roman"/>
          <w:b/>
          <w:bCs/>
          <w:iCs/>
          <w:sz w:val="24"/>
          <w:szCs w:val="24"/>
        </w:rPr>
        <w:t>4.</w:t>
      </w:r>
      <w:r>
        <w:rPr>
          <w:rFonts w:ascii="Times New Roman" w:hAnsi="Times New Roman" w:cs="Times New Roman"/>
          <w:bCs/>
          <w:iCs/>
          <w:sz w:val="24"/>
          <w:szCs w:val="24"/>
        </w:rPr>
        <w:t xml:space="preserve"> Una delle peculiarità del diritto dell’Unione, quanto meno fino al Trattato di Maastricht, ma più correttamente fino a Lisbona, è che la tutela dei diritti fondamentali non è positivizzata nello strumento giuridico dei Trattati che, secondo la Corte di giustizia, rappresentano la Costituzione di questo ordinamento giuridico di nuovo genere nel campo del diritto internazionale (cfr. </w:t>
      </w:r>
      <w:r w:rsidRPr="00007624">
        <w:rPr>
          <w:rFonts w:ascii="Times New Roman" w:hAnsi="Times New Roman" w:cs="Times New Roman"/>
          <w:bCs/>
          <w:i/>
          <w:iCs/>
          <w:sz w:val="24"/>
          <w:szCs w:val="24"/>
        </w:rPr>
        <w:t>Parti Ecologiste Les Verts c / Parlamento europeo</w:t>
      </w:r>
      <w:r>
        <w:rPr>
          <w:rFonts w:ascii="Times New Roman" w:hAnsi="Times New Roman" w:cs="Times New Roman"/>
          <w:bCs/>
          <w:iCs/>
          <w:sz w:val="24"/>
          <w:szCs w:val="24"/>
        </w:rPr>
        <w:t>, 1986</w:t>
      </w:r>
      <w:r w:rsidR="00423AD0">
        <w:rPr>
          <w:rFonts w:ascii="Times New Roman" w:hAnsi="Times New Roman" w:cs="Times New Roman"/>
          <w:bCs/>
          <w:iCs/>
          <w:sz w:val="24"/>
          <w:szCs w:val="24"/>
        </w:rPr>
        <w:t>, causa n. 294/83, punto 23: “</w:t>
      </w:r>
      <w:r w:rsidR="00423AD0" w:rsidRPr="00423AD0">
        <w:rPr>
          <w:rFonts w:ascii="Times New Roman" w:hAnsi="Times New Roman" w:cs="Times New Roman"/>
          <w:bCs/>
          <w:i/>
          <w:iCs/>
          <w:sz w:val="24"/>
          <w:szCs w:val="24"/>
        </w:rPr>
        <w:t xml:space="preserve">si deve anzitutto sottolineare che la Comunità economica europea è una </w:t>
      </w:r>
      <w:r w:rsidR="00423AD0" w:rsidRPr="00423AD0">
        <w:rPr>
          <w:rFonts w:ascii="Times New Roman" w:hAnsi="Times New Roman" w:cs="Times New Roman"/>
          <w:b/>
          <w:bCs/>
          <w:i/>
          <w:iCs/>
          <w:sz w:val="24"/>
          <w:szCs w:val="24"/>
        </w:rPr>
        <w:t>comunità di diritto</w:t>
      </w:r>
      <w:r w:rsidR="00423AD0" w:rsidRPr="00423AD0">
        <w:rPr>
          <w:rFonts w:ascii="Times New Roman" w:hAnsi="Times New Roman" w:cs="Times New Roman"/>
          <w:bCs/>
          <w:i/>
          <w:iCs/>
          <w:sz w:val="24"/>
          <w:szCs w:val="24"/>
        </w:rPr>
        <w:t xml:space="preserve"> nel senso </w:t>
      </w:r>
      <w:r w:rsidR="00423AD0" w:rsidRPr="00423AD0">
        <w:rPr>
          <w:rFonts w:ascii="Times New Roman" w:hAnsi="Times New Roman" w:cs="Times New Roman"/>
          <w:b/>
          <w:bCs/>
          <w:i/>
          <w:iCs/>
          <w:sz w:val="24"/>
          <w:szCs w:val="24"/>
        </w:rPr>
        <w:t>che né gli Stati che ne fanno parte, né le sue istituzioni sono sottratti al controllo della conformità dei loro atti alla carta costituzionale di base costituita dal trattato</w:t>
      </w:r>
      <w:r w:rsidR="00423AD0">
        <w:rPr>
          <w:rFonts w:ascii="Times New Roman" w:hAnsi="Times New Roman" w:cs="Times New Roman"/>
          <w:bCs/>
          <w:iCs/>
          <w:sz w:val="24"/>
          <w:szCs w:val="24"/>
        </w:rPr>
        <w:t>”</w:t>
      </w:r>
      <w:r>
        <w:rPr>
          <w:rFonts w:ascii="Times New Roman" w:hAnsi="Times New Roman" w:cs="Times New Roman"/>
          <w:bCs/>
          <w:iCs/>
          <w:sz w:val="24"/>
          <w:szCs w:val="24"/>
        </w:rPr>
        <w:t>)</w:t>
      </w:r>
      <w:r w:rsidR="00423AD0">
        <w:rPr>
          <w:rFonts w:ascii="Times New Roman" w:hAnsi="Times New Roman" w:cs="Times New Roman"/>
          <w:bCs/>
          <w:iCs/>
          <w:sz w:val="24"/>
          <w:szCs w:val="24"/>
        </w:rPr>
        <w:t>.</w:t>
      </w:r>
    </w:p>
    <w:p w:rsidR="005C175E" w:rsidRDefault="00423AD0" w:rsidP="002D4C39">
      <w:pPr>
        <w:ind w:firstLine="708"/>
        <w:jc w:val="both"/>
        <w:rPr>
          <w:rFonts w:ascii="Times New Roman" w:hAnsi="Times New Roman" w:cs="Times New Roman"/>
          <w:bCs/>
          <w:iCs/>
          <w:sz w:val="24"/>
          <w:szCs w:val="24"/>
        </w:rPr>
      </w:pPr>
      <w:r w:rsidRPr="00423AD0">
        <w:rPr>
          <w:rFonts w:ascii="Times New Roman" w:hAnsi="Times New Roman" w:cs="Times New Roman"/>
          <w:b/>
          <w:bCs/>
          <w:iCs/>
          <w:sz w:val="24"/>
          <w:szCs w:val="24"/>
        </w:rPr>
        <w:t>5</w:t>
      </w:r>
      <w:r>
        <w:rPr>
          <w:rFonts w:ascii="Times New Roman" w:hAnsi="Times New Roman" w:cs="Times New Roman"/>
          <w:bCs/>
          <w:iCs/>
          <w:sz w:val="24"/>
          <w:szCs w:val="24"/>
        </w:rPr>
        <w:t>- La Corte</w:t>
      </w:r>
      <w:r w:rsidR="000B56CA">
        <w:rPr>
          <w:rFonts w:ascii="Times New Roman" w:hAnsi="Times New Roman" w:cs="Times New Roman"/>
          <w:bCs/>
          <w:iCs/>
          <w:sz w:val="24"/>
          <w:szCs w:val="24"/>
        </w:rPr>
        <w:t>,</w:t>
      </w:r>
      <w:r>
        <w:rPr>
          <w:rFonts w:ascii="Times New Roman" w:hAnsi="Times New Roman" w:cs="Times New Roman"/>
          <w:bCs/>
          <w:iCs/>
          <w:sz w:val="24"/>
          <w:szCs w:val="24"/>
        </w:rPr>
        <w:t xml:space="preserve"> infatti</w:t>
      </w:r>
      <w:r w:rsidR="000B56CA">
        <w:rPr>
          <w:rFonts w:ascii="Times New Roman" w:hAnsi="Times New Roman" w:cs="Times New Roman"/>
          <w:bCs/>
          <w:iCs/>
          <w:sz w:val="24"/>
          <w:szCs w:val="24"/>
        </w:rPr>
        <w:t xml:space="preserve">, è stata costretta </w:t>
      </w:r>
      <w:r>
        <w:rPr>
          <w:rFonts w:ascii="Times New Roman" w:hAnsi="Times New Roman" w:cs="Times New Roman"/>
          <w:bCs/>
          <w:iCs/>
          <w:sz w:val="24"/>
          <w:szCs w:val="24"/>
        </w:rPr>
        <w:t xml:space="preserve">in qualche modo </w:t>
      </w:r>
      <w:r w:rsidR="000B56CA">
        <w:rPr>
          <w:rFonts w:ascii="Times New Roman" w:hAnsi="Times New Roman" w:cs="Times New Roman"/>
          <w:bCs/>
          <w:iCs/>
          <w:sz w:val="24"/>
          <w:szCs w:val="24"/>
        </w:rPr>
        <w:t>a colmare</w:t>
      </w:r>
      <w:r>
        <w:rPr>
          <w:rFonts w:ascii="Times New Roman" w:hAnsi="Times New Roman" w:cs="Times New Roman"/>
          <w:bCs/>
          <w:iCs/>
          <w:sz w:val="24"/>
          <w:szCs w:val="24"/>
        </w:rPr>
        <w:t xml:space="preserve"> la lacuna attraverso il ricorso ai </w:t>
      </w:r>
      <w:r w:rsidRPr="000B56CA">
        <w:rPr>
          <w:rFonts w:ascii="Times New Roman" w:hAnsi="Times New Roman" w:cs="Times New Roman"/>
          <w:b/>
          <w:bCs/>
          <w:iCs/>
          <w:sz w:val="24"/>
          <w:szCs w:val="24"/>
        </w:rPr>
        <w:t xml:space="preserve">principi generali </w:t>
      </w:r>
      <w:r w:rsidR="000B56CA" w:rsidRPr="000B56CA">
        <w:rPr>
          <w:rFonts w:ascii="Times New Roman" w:hAnsi="Times New Roman" w:cs="Times New Roman"/>
          <w:b/>
          <w:bCs/>
          <w:iCs/>
          <w:sz w:val="24"/>
          <w:szCs w:val="24"/>
        </w:rPr>
        <w:t>del diritto</w:t>
      </w:r>
      <w:r w:rsidR="000B56CA">
        <w:rPr>
          <w:rFonts w:ascii="Times New Roman" w:hAnsi="Times New Roman" w:cs="Times New Roman"/>
          <w:bCs/>
          <w:iCs/>
          <w:sz w:val="24"/>
          <w:szCs w:val="24"/>
        </w:rPr>
        <w:t xml:space="preserve"> che sono una delle fonti del diritto applicate dalla Corte di giustizia: art. 19 TUE: “</w:t>
      </w:r>
      <w:r w:rsidR="000B56CA" w:rsidRPr="0056326F">
        <w:rPr>
          <w:rFonts w:ascii="Times New Roman" w:hAnsi="Times New Roman" w:cs="Times New Roman"/>
          <w:bCs/>
          <w:i/>
          <w:iCs/>
          <w:sz w:val="24"/>
          <w:szCs w:val="24"/>
        </w:rPr>
        <w:t>Assicura il rispetto del diritto nell'interpretazione e nell'applicazione dei trattati</w:t>
      </w:r>
      <w:r w:rsidR="000B56CA">
        <w:rPr>
          <w:rFonts w:ascii="Times New Roman" w:hAnsi="Times New Roman" w:cs="Times New Roman"/>
          <w:bCs/>
          <w:iCs/>
          <w:sz w:val="24"/>
          <w:szCs w:val="24"/>
        </w:rPr>
        <w:t>”</w:t>
      </w:r>
      <w:r w:rsidR="000B56CA" w:rsidRPr="000B56CA">
        <w:rPr>
          <w:rFonts w:ascii="Times New Roman" w:hAnsi="Times New Roman" w:cs="Times New Roman"/>
          <w:bCs/>
          <w:iCs/>
          <w:sz w:val="24"/>
          <w:szCs w:val="24"/>
        </w:rPr>
        <w:t>.</w:t>
      </w:r>
      <w:r w:rsidR="005C175E">
        <w:rPr>
          <w:rFonts w:ascii="Times New Roman" w:hAnsi="Times New Roman" w:cs="Times New Roman"/>
          <w:bCs/>
          <w:iCs/>
          <w:sz w:val="24"/>
          <w:szCs w:val="24"/>
        </w:rPr>
        <w:t xml:space="preserve"> E questi principi generali del diritto vengono ricavati, in particolare, dalle tradizioni costituzionali degli Stati membri</w:t>
      </w:r>
      <w:r w:rsidR="005224CB">
        <w:rPr>
          <w:rFonts w:ascii="Times New Roman" w:hAnsi="Times New Roman" w:cs="Times New Roman"/>
          <w:bCs/>
          <w:iCs/>
          <w:sz w:val="24"/>
          <w:szCs w:val="24"/>
        </w:rPr>
        <w:t xml:space="preserve"> (</w:t>
      </w:r>
      <w:r w:rsidR="005224CB" w:rsidRPr="005224CB">
        <w:rPr>
          <w:rFonts w:ascii="Times New Roman" w:hAnsi="Times New Roman" w:cs="Times New Roman"/>
          <w:bCs/>
          <w:i/>
          <w:iCs/>
          <w:sz w:val="24"/>
          <w:szCs w:val="24"/>
        </w:rPr>
        <w:t>Internationale Handelsgesellschaft</w:t>
      </w:r>
      <w:r w:rsidR="005224CB">
        <w:rPr>
          <w:rFonts w:ascii="Times New Roman" w:hAnsi="Times New Roman" w:cs="Times New Roman"/>
          <w:bCs/>
          <w:iCs/>
          <w:sz w:val="24"/>
          <w:szCs w:val="24"/>
        </w:rPr>
        <w:t>, 11/70) ma anche da strumenti internazionali (</w:t>
      </w:r>
      <w:r w:rsidR="005224CB" w:rsidRPr="005224CB">
        <w:rPr>
          <w:rFonts w:ascii="Times New Roman" w:hAnsi="Times New Roman" w:cs="Times New Roman"/>
          <w:bCs/>
          <w:i/>
          <w:iCs/>
          <w:sz w:val="24"/>
          <w:szCs w:val="24"/>
        </w:rPr>
        <w:t>Nold</w:t>
      </w:r>
      <w:r w:rsidR="005224CB">
        <w:rPr>
          <w:rFonts w:ascii="Times New Roman" w:hAnsi="Times New Roman" w:cs="Times New Roman"/>
          <w:bCs/>
          <w:iCs/>
          <w:sz w:val="24"/>
          <w:szCs w:val="24"/>
        </w:rPr>
        <w:t xml:space="preserve"> 4/73)</w:t>
      </w:r>
    </w:p>
    <w:p w:rsidR="00423AD0" w:rsidRDefault="005C175E" w:rsidP="002D4C39">
      <w:pPr>
        <w:ind w:firstLine="708"/>
        <w:jc w:val="both"/>
        <w:rPr>
          <w:rFonts w:ascii="Times New Roman" w:hAnsi="Times New Roman" w:cs="Times New Roman"/>
          <w:bCs/>
          <w:iCs/>
          <w:sz w:val="24"/>
          <w:szCs w:val="24"/>
        </w:rPr>
      </w:pPr>
      <w:r w:rsidRPr="005224CB">
        <w:rPr>
          <w:rFonts w:ascii="Times New Roman" w:hAnsi="Times New Roman" w:cs="Times New Roman"/>
          <w:b/>
          <w:bCs/>
          <w:iCs/>
          <w:sz w:val="24"/>
          <w:szCs w:val="24"/>
        </w:rPr>
        <w:t>6</w:t>
      </w:r>
      <w:r>
        <w:rPr>
          <w:rFonts w:ascii="Times New Roman" w:hAnsi="Times New Roman" w:cs="Times New Roman"/>
          <w:bCs/>
          <w:iCs/>
          <w:sz w:val="24"/>
          <w:szCs w:val="24"/>
        </w:rPr>
        <w:t xml:space="preserve"> . La </w:t>
      </w:r>
      <w:r w:rsidRPr="009675BE">
        <w:rPr>
          <w:rFonts w:ascii="Times New Roman" w:hAnsi="Times New Roman" w:cs="Times New Roman"/>
          <w:b/>
          <w:bCs/>
          <w:iCs/>
          <w:sz w:val="24"/>
          <w:szCs w:val="24"/>
        </w:rPr>
        <w:t>CEDU</w:t>
      </w:r>
      <w:r>
        <w:rPr>
          <w:rFonts w:ascii="Times New Roman" w:hAnsi="Times New Roman" w:cs="Times New Roman"/>
          <w:bCs/>
          <w:iCs/>
          <w:sz w:val="24"/>
          <w:szCs w:val="24"/>
        </w:rPr>
        <w:t xml:space="preserve"> non viene menzionata subito nella giurisprudenza della Corte relativa alla questione della tutela dei diritti fondamentali (che</w:t>
      </w:r>
      <w:r w:rsidR="005224CB">
        <w:rPr>
          <w:rFonts w:ascii="Times New Roman" w:hAnsi="Times New Roman" w:cs="Times New Roman"/>
          <w:bCs/>
          <w:iCs/>
          <w:sz w:val="24"/>
          <w:szCs w:val="24"/>
        </w:rPr>
        <w:t>,</w:t>
      </w:r>
      <w:r>
        <w:rPr>
          <w:rFonts w:ascii="Times New Roman" w:hAnsi="Times New Roman" w:cs="Times New Roman"/>
          <w:bCs/>
          <w:iCs/>
          <w:sz w:val="24"/>
          <w:szCs w:val="24"/>
        </w:rPr>
        <w:t xml:space="preserve"> in dottrina</w:t>
      </w:r>
      <w:r w:rsidR="005224CB">
        <w:rPr>
          <w:rFonts w:ascii="Times New Roman" w:hAnsi="Times New Roman" w:cs="Times New Roman"/>
          <w:bCs/>
          <w:iCs/>
          <w:sz w:val="24"/>
          <w:szCs w:val="24"/>
        </w:rPr>
        <w:t>, si tende a far risalire</w:t>
      </w:r>
      <w:r w:rsidR="0056326F">
        <w:rPr>
          <w:rFonts w:ascii="Times New Roman" w:hAnsi="Times New Roman" w:cs="Times New Roman"/>
          <w:bCs/>
          <w:iCs/>
          <w:sz w:val="24"/>
          <w:szCs w:val="24"/>
        </w:rPr>
        <w:t>,</w:t>
      </w:r>
      <w:r w:rsidR="005224CB">
        <w:rPr>
          <w:rFonts w:ascii="Times New Roman" w:hAnsi="Times New Roman" w:cs="Times New Roman"/>
          <w:bCs/>
          <w:iCs/>
          <w:sz w:val="24"/>
          <w:szCs w:val="24"/>
        </w:rPr>
        <w:t xml:space="preserve"> per l’appunto</w:t>
      </w:r>
      <w:r w:rsidR="0056326F">
        <w:rPr>
          <w:rFonts w:ascii="Times New Roman" w:hAnsi="Times New Roman" w:cs="Times New Roman"/>
          <w:bCs/>
          <w:iCs/>
          <w:sz w:val="24"/>
          <w:szCs w:val="24"/>
        </w:rPr>
        <w:t>,</w:t>
      </w:r>
      <w:r w:rsidR="005224CB">
        <w:rPr>
          <w:rFonts w:ascii="Times New Roman" w:hAnsi="Times New Roman" w:cs="Times New Roman"/>
          <w:bCs/>
          <w:iCs/>
          <w:sz w:val="24"/>
          <w:szCs w:val="24"/>
        </w:rPr>
        <w:t xml:space="preserve"> al precedente</w:t>
      </w:r>
      <w:r>
        <w:rPr>
          <w:rFonts w:ascii="Times New Roman" w:hAnsi="Times New Roman" w:cs="Times New Roman"/>
          <w:bCs/>
          <w:iCs/>
          <w:sz w:val="24"/>
          <w:szCs w:val="24"/>
        </w:rPr>
        <w:t xml:space="preserve"> </w:t>
      </w:r>
      <w:r w:rsidRPr="005C175E">
        <w:rPr>
          <w:rFonts w:ascii="Times New Roman" w:hAnsi="Times New Roman" w:cs="Times New Roman"/>
          <w:bCs/>
          <w:i/>
          <w:iCs/>
          <w:sz w:val="24"/>
          <w:szCs w:val="24"/>
        </w:rPr>
        <w:t>Stauder</w:t>
      </w:r>
      <w:r>
        <w:rPr>
          <w:rFonts w:ascii="Times New Roman" w:hAnsi="Times New Roman" w:cs="Times New Roman"/>
          <w:bCs/>
          <w:iCs/>
          <w:sz w:val="24"/>
          <w:szCs w:val="24"/>
        </w:rPr>
        <w:t xml:space="preserve"> del 1969), </w:t>
      </w:r>
      <w:r w:rsidR="005224CB">
        <w:rPr>
          <w:rFonts w:ascii="Times New Roman" w:hAnsi="Times New Roman" w:cs="Times New Roman"/>
          <w:bCs/>
          <w:iCs/>
          <w:sz w:val="24"/>
          <w:szCs w:val="24"/>
        </w:rPr>
        <w:t xml:space="preserve">ma quasi naturalmente viene detta rivestire un </w:t>
      </w:r>
      <w:r w:rsidR="005224CB" w:rsidRPr="009675BE">
        <w:rPr>
          <w:rFonts w:ascii="Times New Roman" w:hAnsi="Times New Roman" w:cs="Times New Roman"/>
          <w:b/>
          <w:bCs/>
          <w:iCs/>
          <w:sz w:val="24"/>
          <w:szCs w:val="24"/>
        </w:rPr>
        <w:t>“</w:t>
      </w:r>
      <w:r w:rsidR="005224CB" w:rsidRPr="009675BE">
        <w:rPr>
          <w:rFonts w:ascii="Times New Roman" w:hAnsi="Times New Roman" w:cs="Times New Roman"/>
          <w:b/>
          <w:bCs/>
          <w:i/>
          <w:iCs/>
          <w:sz w:val="24"/>
          <w:szCs w:val="24"/>
        </w:rPr>
        <w:t>particolare significato</w:t>
      </w:r>
      <w:r w:rsidR="005224CB">
        <w:rPr>
          <w:rFonts w:ascii="Times New Roman" w:hAnsi="Times New Roman" w:cs="Times New Roman"/>
          <w:bCs/>
          <w:iCs/>
          <w:sz w:val="24"/>
          <w:szCs w:val="24"/>
        </w:rPr>
        <w:t>” (</w:t>
      </w:r>
      <w:r w:rsidR="005224CB" w:rsidRPr="005224CB">
        <w:rPr>
          <w:rFonts w:ascii="Times New Roman" w:hAnsi="Times New Roman" w:cs="Times New Roman"/>
          <w:bCs/>
          <w:i/>
          <w:iCs/>
          <w:sz w:val="24"/>
          <w:szCs w:val="24"/>
        </w:rPr>
        <w:t>Hoechest</w:t>
      </w:r>
      <w:r w:rsidR="005224CB">
        <w:rPr>
          <w:rFonts w:ascii="Times New Roman" w:hAnsi="Times New Roman" w:cs="Times New Roman"/>
          <w:bCs/>
          <w:iCs/>
          <w:sz w:val="24"/>
          <w:szCs w:val="24"/>
        </w:rPr>
        <w:t>, 46/87 e 227/88, del 1989).</w:t>
      </w:r>
    </w:p>
    <w:p w:rsidR="009675BE" w:rsidRDefault="009675BE" w:rsidP="002D4C39">
      <w:pPr>
        <w:ind w:firstLine="708"/>
        <w:jc w:val="both"/>
        <w:rPr>
          <w:rFonts w:ascii="Times New Roman" w:hAnsi="Times New Roman" w:cs="Times New Roman"/>
          <w:bCs/>
          <w:iCs/>
          <w:sz w:val="24"/>
          <w:szCs w:val="24"/>
        </w:rPr>
      </w:pPr>
      <w:r w:rsidRPr="009675BE">
        <w:rPr>
          <w:rFonts w:ascii="Times New Roman" w:hAnsi="Times New Roman" w:cs="Times New Roman"/>
          <w:b/>
          <w:bCs/>
          <w:iCs/>
          <w:sz w:val="24"/>
          <w:szCs w:val="24"/>
        </w:rPr>
        <w:t>7.</w:t>
      </w:r>
      <w:r>
        <w:rPr>
          <w:rFonts w:ascii="Times New Roman" w:hAnsi="Times New Roman" w:cs="Times New Roman"/>
          <w:bCs/>
          <w:iCs/>
          <w:sz w:val="24"/>
          <w:szCs w:val="24"/>
        </w:rPr>
        <w:t xml:space="preserve"> </w:t>
      </w:r>
      <w:r w:rsidRPr="009675BE">
        <w:rPr>
          <w:rFonts w:ascii="Times New Roman" w:hAnsi="Times New Roman" w:cs="Times New Roman"/>
          <w:b/>
          <w:bCs/>
          <w:iCs/>
          <w:sz w:val="24"/>
          <w:szCs w:val="24"/>
        </w:rPr>
        <w:t>Nell’art. F del Trattato di Maastricht</w:t>
      </w:r>
      <w:r w:rsidR="0056326F">
        <w:rPr>
          <w:rFonts w:ascii="Times New Roman" w:hAnsi="Times New Roman" w:cs="Times New Roman"/>
          <w:b/>
          <w:bCs/>
          <w:iCs/>
          <w:sz w:val="24"/>
          <w:szCs w:val="24"/>
        </w:rPr>
        <w:t>, poi,</w:t>
      </w:r>
      <w:r>
        <w:rPr>
          <w:rFonts w:ascii="Times New Roman" w:hAnsi="Times New Roman" w:cs="Times New Roman"/>
          <w:bCs/>
          <w:iCs/>
          <w:sz w:val="24"/>
          <w:szCs w:val="24"/>
        </w:rPr>
        <w:t xml:space="preserve"> si rinviene che “</w:t>
      </w:r>
      <w:r w:rsidRPr="0056326F">
        <w:rPr>
          <w:rFonts w:ascii="Times New Roman" w:hAnsi="Times New Roman" w:cs="Times New Roman"/>
          <w:bCs/>
          <w:i/>
          <w:iCs/>
          <w:sz w:val="24"/>
          <w:szCs w:val="24"/>
        </w:rPr>
        <w:t xml:space="preserve">l’Unione rispetta i diritti fondamentali </w:t>
      </w:r>
      <w:r w:rsidRPr="009675BE">
        <w:rPr>
          <w:rFonts w:ascii="Times New Roman" w:hAnsi="Times New Roman" w:cs="Times New Roman"/>
          <w:bCs/>
          <w:iCs/>
          <w:sz w:val="24"/>
          <w:szCs w:val="24"/>
        </w:rPr>
        <w:t xml:space="preserve">quali sono </w:t>
      </w:r>
      <w:r w:rsidRPr="0056326F">
        <w:rPr>
          <w:rFonts w:ascii="Times New Roman" w:hAnsi="Times New Roman" w:cs="Times New Roman"/>
          <w:bCs/>
          <w:i/>
          <w:iCs/>
          <w:sz w:val="24"/>
          <w:szCs w:val="24"/>
        </w:rPr>
        <w:t>garantiti dalla Convenzione europea</w:t>
      </w:r>
      <w:r w:rsidRPr="009675BE">
        <w:rPr>
          <w:rFonts w:ascii="Times New Roman" w:hAnsi="Times New Roman" w:cs="Times New Roman"/>
          <w:bCs/>
          <w:iCs/>
          <w:sz w:val="24"/>
          <w:szCs w:val="24"/>
        </w:rPr>
        <w:t xml:space="preserve"> per l</w:t>
      </w:r>
      <w:r>
        <w:rPr>
          <w:rFonts w:ascii="Times New Roman" w:hAnsi="Times New Roman" w:cs="Times New Roman"/>
          <w:bCs/>
          <w:iCs/>
          <w:sz w:val="24"/>
          <w:szCs w:val="24"/>
        </w:rPr>
        <w:t>a salvaguardia dei diritti dell’</w:t>
      </w:r>
      <w:r w:rsidRPr="009675BE">
        <w:rPr>
          <w:rFonts w:ascii="Times New Roman" w:hAnsi="Times New Roman" w:cs="Times New Roman"/>
          <w:bCs/>
          <w:iCs/>
          <w:sz w:val="24"/>
          <w:szCs w:val="24"/>
        </w:rPr>
        <w:t xml:space="preserve">uomo </w:t>
      </w:r>
      <w:r w:rsidRPr="009675BE">
        <w:rPr>
          <w:rFonts w:ascii="Times New Roman" w:hAnsi="Times New Roman" w:cs="Times New Roman"/>
          <w:bCs/>
          <w:iCs/>
          <w:sz w:val="24"/>
          <w:szCs w:val="24"/>
        </w:rPr>
        <w:lastRenderedPageBreak/>
        <w:t xml:space="preserve">e delle libertà fondamentali, firmata a Roma il 4 novembre 1950, </w:t>
      </w:r>
      <w:r w:rsidRPr="0056326F">
        <w:rPr>
          <w:rFonts w:ascii="Times New Roman" w:hAnsi="Times New Roman" w:cs="Times New Roman"/>
          <w:bCs/>
          <w:i/>
          <w:iCs/>
          <w:sz w:val="24"/>
          <w:szCs w:val="24"/>
        </w:rPr>
        <w:t xml:space="preserve">e quali risultano dalle tradizioni costituzionali comuni degli Stati membri, in </w:t>
      </w:r>
      <w:r w:rsidRPr="0056326F">
        <w:rPr>
          <w:rFonts w:ascii="Times New Roman" w:hAnsi="Times New Roman" w:cs="Times New Roman"/>
          <w:b/>
          <w:bCs/>
          <w:i/>
          <w:iCs/>
          <w:sz w:val="24"/>
          <w:szCs w:val="24"/>
        </w:rPr>
        <w:t>quanto principi generali del diritto comunitario</w:t>
      </w:r>
      <w:r>
        <w:rPr>
          <w:rFonts w:ascii="Times New Roman" w:hAnsi="Times New Roman" w:cs="Times New Roman"/>
          <w:bCs/>
          <w:iCs/>
          <w:sz w:val="24"/>
          <w:szCs w:val="24"/>
        </w:rPr>
        <w:t>”</w:t>
      </w:r>
      <w:r w:rsidRPr="009675BE">
        <w:rPr>
          <w:rFonts w:ascii="Times New Roman" w:hAnsi="Times New Roman" w:cs="Times New Roman"/>
          <w:bCs/>
          <w:iCs/>
          <w:sz w:val="24"/>
          <w:szCs w:val="24"/>
        </w:rPr>
        <w:t>.</w:t>
      </w:r>
    </w:p>
    <w:p w:rsidR="009675BE" w:rsidRDefault="009675BE" w:rsidP="002D4C39">
      <w:pPr>
        <w:ind w:firstLine="708"/>
        <w:jc w:val="both"/>
        <w:rPr>
          <w:rFonts w:ascii="Times New Roman" w:hAnsi="Times New Roman" w:cs="Times New Roman"/>
          <w:bCs/>
          <w:iCs/>
          <w:sz w:val="24"/>
          <w:szCs w:val="24"/>
        </w:rPr>
      </w:pPr>
      <w:r w:rsidRPr="009675BE">
        <w:rPr>
          <w:rFonts w:ascii="Times New Roman" w:hAnsi="Times New Roman" w:cs="Times New Roman"/>
          <w:b/>
          <w:bCs/>
          <w:iCs/>
          <w:sz w:val="24"/>
          <w:szCs w:val="24"/>
        </w:rPr>
        <w:t>8</w:t>
      </w:r>
      <w:r>
        <w:rPr>
          <w:rFonts w:ascii="Times New Roman" w:hAnsi="Times New Roman" w:cs="Times New Roman"/>
          <w:bCs/>
          <w:iCs/>
          <w:sz w:val="24"/>
          <w:szCs w:val="24"/>
        </w:rPr>
        <w:t>- Infine, nel 2000, v</w:t>
      </w:r>
      <w:r w:rsidR="0056326F">
        <w:rPr>
          <w:rFonts w:ascii="Times New Roman" w:hAnsi="Times New Roman" w:cs="Times New Roman"/>
          <w:bCs/>
          <w:iCs/>
          <w:sz w:val="24"/>
          <w:szCs w:val="24"/>
        </w:rPr>
        <w:t>en</w:t>
      </w:r>
      <w:r>
        <w:rPr>
          <w:rFonts w:ascii="Times New Roman" w:hAnsi="Times New Roman" w:cs="Times New Roman"/>
          <w:bCs/>
          <w:iCs/>
          <w:sz w:val="24"/>
          <w:szCs w:val="24"/>
        </w:rPr>
        <w:t>ne proclamata a Nizza la Carta dei diritti fondamentali, riadattata poi a Strasburgo nel 2007, che diverrà vincolante giuridicamente soltanto con il nuovo art</w:t>
      </w:r>
      <w:r w:rsidR="0056326F">
        <w:rPr>
          <w:rFonts w:ascii="Times New Roman" w:hAnsi="Times New Roman" w:cs="Times New Roman"/>
          <w:bCs/>
          <w:iCs/>
          <w:sz w:val="24"/>
          <w:szCs w:val="24"/>
        </w:rPr>
        <w:t>icolo 6 del Trattato di Lisbona, alla fine del 2009.</w:t>
      </w:r>
    </w:p>
    <w:p w:rsidR="009675BE" w:rsidRDefault="009675BE" w:rsidP="002D4C39">
      <w:pPr>
        <w:ind w:firstLine="708"/>
        <w:jc w:val="both"/>
        <w:rPr>
          <w:rFonts w:ascii="Times New Roman" w:hAnsi="Times New Roman" w:cs="Times New Roman"/>
          <w:bCs/>
          <w:iCs/>
          <w:sz w:val="24"/>
          <w:szCs w:val="24"/>
        </w:rPr>
      </w:pPr>
      <w:r w:rsidRPr="009675BE">
        <w:rPr>
          <w:rFonts w:ascii="Times New Roman" w:hAnsi="Times New Roman" w:cs="Times New Roman"/>
          <w:b/>
          <w:bCs/>
          <w:iCs/>
          <w:sz w:val="24"/>
          <w:szCs w:val="24"/>
        </w:rPr>
        <w:t xml:space="preserve">9 </w:t>
      </w:r>
      <w:r>
        <w:rPr>
          <w:rFonts w:ascii="Times New Roman" w:hAnsi="Times New Roman" w:cs="Times New Roman"/>
          <w:bCs/>
          <w:iCs/>
          <w:sz w:val="24"/>
          <w:szCs w:val="24"/>
        </w:rPr>
        <w:t>– Questa tutela per così dire “tridimensionale” dei diritti fondamentali dell’Unione europea si trova oggi positivizzata nell’</w:t>
      </w:r>
      <w:r w:rsidR="00941D4A">
        <w:rPr>
          <w:rFonts w:ascii="Times New Roman" w:hAnsi="Times New Roman" w:cs="Times New Roman"/>
          <w:bCs/>
          <w:iCs/>
          <w:sz w:val="24"/>
          <w:szCs w:val="24"/>
        </w:rPr>
        <w:t>art. 6 TUE e in certo qual modo ha rovesciato la prospettiva storica</w:t>
      </w:r>
    </w:p>
    <w:p w:rsidR="00941D4A" w:rsidRDefault="00941D4A" w:rsidP="002D4C39">
      <w:pPr>
        <w:ind w:firstLine="708"/>
        <w:jc w:val="both"/>
        <w:rPr>
          <w:rFonts w:ascii="Times New Roman" w:hAnsi="Times New Roman" w:cs="Times New Roman"/>
          <w:sz w:val="24"/>
          <w:szCs w:val="24"/>
        </w:rPr>
      </w:pPr>
      <w:r>
        <w:rPr>
          <w:rFonts w:ascii="Times New Roman" w:hAnsi="Times New Roman" w:cs="Times New Roman"/>
          <w:sz w:val="24"/>
          <w:szCs w:val="24"/>
        </w:rPr>
        <w:t>“</w:t>
      </w:r>
      <w:r w:rsidRPr="00941D4A">
        <w:rPr>
          <w:rFonts w:ascii="Times New Roman" w:hAnsi="Times New Roman" w:cs="Times New Roman"/>
          <w:sz w:val="24"/>
          <w:szCs w:val="24"/>
        </w:rPr>
        <w:t xml:space="preserve">1. L'Unione riconosce i diritti, le libertà e i principi sanciti nella </w:t>
      </w:r>
      <w:r w:rsidRPr="00941D4A">
        <w:rPr>
          <w:rFonts w:ascii="Times New Roman" w:hAnsi="Times New Roman" w:cs="Times New Roman"/>
          <w:b/>
          <w:sz w:val="24"/>
          <w:szCs w:val="24"/>
        </w:rPr>
        <w:t>Carta dei diritti fondamentali</w:t>
      </w:r>
      <w:r w:rsidRPr="00941D4A">
        <w:rPr>
          <w:rFonts w:ascii="Times New Roman" w:hAnsi="Times New Roman" w:cs="Times New Roman"/>
          <w:sz w:val="24"/>
          <w:szCs w:val="24"/>
        </w:rPr>
        <w:t xml:space="preserve"> dell'Unione europea del 7 dicembre 2000, adattata il 12 dicembre 2007 a Strasburgo, che ha lo </w:t>
      </w:r>
      <w:r w:rsidRPr="0056326F">
        <w:rPr>
          <w:rFonts w:ascii="Times New Roman" w:hAnsi="Times New Roman" w:cs="Times New Roman"/>
          <w:b/>
          <w:i/>
          <w:sz w:val="24"/>
          <w:szCs w:val="24"/>
        </w:rPr>
        <w:t>stesso valore giuridico dei trattati</w:t>
      </w:r>
      <w:r w:rsidRPr="00867E44">
        <w:rPr>
          <w:rFonts w:ascii="Times New Roman" w:hAnsi="Times New Roman" w:cs="Times New Roman"/>
          <w:b/>
          <w:sz w:val="24"/>
          <w:szCs w:val="24"/>
        </w:rPr>
        <w:t>. Le disposizioni della Carta non estendono in alcun modo le competenze dell'Unione definite nei trattati</w:t>
      </w:r>
      <w:r w:rsidRPr="00941D4A">
        <w:rPr>
          <w:rFonts w:ascii="Times New Roman" w:hAnsi="Times New Roman" w:cs="Times New Roman"/>
          <w:sz w:val="24"/>
          <w:szCs w:val="24"/>
        </w:rPr>
        <w:t xml:space="preserve">. I diritti, le libertà e i principi della Carta sono interpretati in conformità delle disposizioni generali del titolo VII della Carta che disciplinano la sua interpretazione e applicazione e tenendo in debito conto le spiegazioni cui si fa riferimento nella Carta, che indicano le fonti di tali disposizioni. </w:t>
      </w:r>
    </w:p>
    <w:p w:rsidR="00941D4A" w:rsidRDefault="00941D4A" w:rsidP="002D4C39">
      <w:pPr>
        <w:ind w:firstLine="708"/>
        <w:jc w:val="both"/>
        <w:rPr>
          <w:rFonts w:ascii="Times New Roman" w:hAnsi="Times New Roman" w:cs="Times New Roman"/>
          <w:sz w:val="24"/>
          <w:szCs w:val="24"/>
        </w:rPr>
      </w:pPr>
      <w:r w:rsidRPr="00941D4A">
        <w:rPr>
          <w:rFonts w:ascii="Times New Roman" w:hAnsi="Times New Roman" w:cs="Times New Roman"/>
          <w:sz w:val="24"/>
          <w:szCs w:val="24"/>
        </w:rPr>
        <w:t xml:space="preserve">2. L'Unione aderisce alla </w:t>
      </w:r>
      <w:r w:rsidRPr="00941D4A">
        <w:rPr>
          <w:rFonts w:ascii="Times New Roman" w:hAnsi="Times New Roman" w:cs="Times New Roman"/>
          <w:b/>
          <w:sz w:val="24"/>
          <w:szCs w:val="24"/>
        </w:rPr>
        <w:t>Convenzione europea per la salvaguardia dei diritti dell'uomo e delle libertà fondamentali.</w:t>
      </w:r>
      <w:r w:rsidRPr="00941D4A">
        <w:rPr>
          <w:rFonts w:ascii="Times New Roman" w:hAnsi="Times New Roman" w:cs="Times New Roman"/>
          <w:sz w:val="24"/>
          <w:szCs w:val="24"/>
        </w:rPr>
        <w:t xml:space="preserve"> Tale adesione non modifica le competenze de</w:t>
      </w:r>
      <w:r w:rsidR="0056326F">
        <w:rPr>
          <w:rFonts w:ascii="Times New Roman" w:hAnsi="Times New Roman" w:cs="Times New Roman"/>
          <w:sz w:val="24"/>
          <w:szCs w:val="24"/>
        </w:rPr>
        <w:t>ll'Unione definite nei trattati (ma si veda il parere 2/13).</w:t>
      </w:r>
    </w:p>
    <w:p w:rsidR="00941D4A" w:rsidRDefault="00941D4A" w:rsidP="002D4C39">
      <w:pPr>
        <w:ind w:firstLine="708"/>
        <w:jc w:val="both"/>
        <w:rPr>
          <w:rFonts w:ascii="Times New Roman" w:hAnsi="Times New Roman" w:cs="Times New Roman"/>
          <w:sz w:val="24"/>
          <w:szCs w:val="24"/>
        </w:rPr>
      </w:pPr>
      <w:r w:rsidRPr="00941D4A">
        <w:rPr>
          <w:rFonts w:ascii="Times New Roman" w:hAnsi="Times New Roman" w:cs="Times New Roman"/>
          <w:sz w:val="24"/>
          <w:szCs w:val="24"/>
        </w:rPr>
        <w:t xml:space="preserve"> 3. I </w:t>
      </w:r>
      <w:r w:rsidRPr="00941D4A">
        <w:rPr>
          <w:rFonts w:ascii="Times New Roman" w:hAnsi="Times New Roman" w:cs="Times New Roman"/>
          <w:b/>
          <w:sz w:val="24"/>
          <w:szCs w:val="24"/>
        </w:rPr>
        <w:t>diritti fondamentali</w:t>
      </w:r>
      <w:r w:rsidRPr="00941D4A">
        <w:rPr>
          <w:rFonts w:ascii="Times New Roman" w:hAnsi="Times New Roman" w:cs="Times New Roman"/>
          <w:sz w:val="24"/>
          <w:szCs w:val="24"/>
        </w:rPr>
        <w:t xml:space="preserve">, garantiti dalla Convenzione europea per la salvaguardia dei diritti dell'uomo e delle libertà fondamentali e risultanti dalle tradizioni costituzionali comuni agli Stati membri, </w:t>
      </w:r>
      <w:r w:rsidRPr="00941D4A">
        <w:rPr>
          <w:rFonts w:ascii="Times New Roman" w:hAnsi="Times New Roman" w:cs="Times New Roman"/>
          <w:b/>
          <w:sz w:val="24"/>
          <w:szCs w:val="24"/>
        </w:rPr>
        <w:t>fanno parte del diritto dell'Unione in quanto principi generali</w:t>
      </w:r>
      <w:r>
        <w:rPr>
          <w:rFonts w:ascii="Times New Roman" w:hAnsi="Times New Roman" w:cs="Times New Roman"/>
          <w:sz w:val="24"/>
          <w:szCs w:val="24"/>
        </w:rPr>
        <w:t>”.</w:t>
      </w:r>
    </w:p>
    <w:p w:rsidR="00196276" w:rsidRDefault="00196276" w:rsidP="002D4C39">
      <w:pPr>
        <w:ind w:firstLine="708"/>
        <w:jc w:val="both"/>
        <w:rPr>
          <w:rFonts w:ascii="Times New Roman" w:hAnsi="Times New Roman" w:cs="Times New Roman"/>
          <w:sz w:val="24"/>
          <w:szCs w:val="24"/>
        </w:rPr>
      </w:pPr>
      <w:r w:rsidRPr="00196276">
        <w:rPr>
          <w:rFonts w:ascii="Times New Roman" w:hAnsi="Times New Roman" w:cs="Times New Roman"/>
          <w:b/>
          <w:sz w:val="24"/>
          <w:szCs w:val="24"/>
        </w:rPr>
        <w:t>10</w:t>
      </w:r>
      <w:r>
        <w:rPr>
          <w:rFonts w:ascii="Times New Roman" w:hAnsi="Times New Roman" w:cs="Times New Roman"/>
          <w:b/>
          <w:sz w:val="24"/>
          <w:szCs w:val="24"/>
        </w:rPr>
        <w:t xml:space="preserve"> - </w:t>
      </w:r>
      <w:r w:rsidR="00867E44">
        <w:rPr>
          <w:rFonts w:ascii="Times New Roman" w:hAnsi="Times New Roman" w:cs="Times New Roman"/>
          <w:b/>
          <w:sz w:val="24"/>
          <w:szCs w:val="24"/>
        </w:rPr>
        <w:t xml:space="preserve"> </w:t>
      </w:r>
      <w:r w:rsidR="00867E44" w:rsidRPr="00867E44">
        <w:rPr>
          <w:rFonts w:ascii="Times New Roman" w:hAnsi="Times New Roman" w:cs="Times New Roman"/>
          <w:sz w:val="24"/>
          <w:szCs w:val="24"/>
        </w:rPr>
        <w:t>Fra le disposizioni</w:t>
      </w:r>
      <w:r w:rsidR="00867E44">
        <w:rPr>
          <w:rFonts w:ascii="Times New Roman" w:hAnsi="Times New Roman" w:cs="Times New Roman"/>
          <w:sz w:val="24"/>
          <w:szCs w:val="24"/>
        </w:rPr>
        <w:t xml:space="preserve"> generali della Carta di cui al Titolo VII va ricordata in particolar modo l’art. 51, n. 1 a tenore della quale “l</w:t>
      </w:r>
      <w:r w:rsidR="00867E44" w:rsidRPr="00867E44">
        <w:rPr>
          <w:rFonts w:ascii="Times New Roman" w:hAnsi="Times New Roman" w:cs="Times New Roman"/>
          <w:sz w:val="24"/>
          <w:szCs w:val="24"/>
        </w:rPr>
        <w:t xml:space="preserve">e disposizioni della presente Carta si applicano alle istituzioni e agli organi dell’Unione nel rispetto del principio di sussidiarietà come pure agli Stati membri </w:t>
      </w:r>
      <w:r w:rsidR="00867E44" w:rsidRPr="00867E44">
        <w:rPr>
          <w:rFonts w:ascii="Times New Roman" w:hAnsi="Times New Roman" w:cs="Times New Roman"/>
          <w:b/>
          <w:sz w:val="24"/>
          <w:szCs w:val="24"/>
        </w:rPr>
        <w:t>esclusivamente nell’attuazione del diritto dell’Unione</w:t>
      </w:r>
      <w:r w:rsidR="00867E44">
        <w:rPr>
          <w:rFonts w:ascii="Times New Roman" w:hAnsi="Times New Roman" w:cs="Times New Roman"/>
          <w:b/>
          <w:sz w:val="24"/>
          <w:szCs w:val="24"/>
        </w:rPr>
        <w:t>”</w:t>
      </w:r>
      <w:r w:rsidR="00867E44" w:rsidRPr="00867E44">
        <w:rPr>
          <w:rFonts w:ascii="Times New Roman" w:hAnsi="Times New Roman" w:cs="Times New Roman"/>
          <w:sz w:val="24"/>
          <w:szCs w:val="24"/>
        </w:rPr>
        <w:t xml:space="preserve">. </w:t>
      </w:r>
      <w:r w:rsidR="00867E44">
        <w:rPr>
          <w:rFonts w:ascii="Times New Roman" w:hAnsi="Times New Roman" w:cs="Times New Roman"/>
          <w:sz w:val="24"/>
          <w:szCs w:val="24"/>
        </w:rPr>
        <w:t xml:space="preserve">E come ha affermato la Corte in </w:t>
      </w:r>
      <w:r w:rsidR="00867E44" w:rsidRPr="00867E44">
        <w:rPr>
          <w:rFonts w:ascii="Times New Roman" w:hAnsi="Times New Roman" w:cs="Times New Roman"/>
          <w:i/>
          <w:sz w:val="24"/>
          <w:szCs w:val="24"/>
        </w:rPr>
        <w:t>Fransson</w:t>
      </w:r>
      <w:r w:rsidR="00867E44">
        <w:rPr>
          <w:rFonts w:ascii="Times New Roman" w:hAnsi="Times New Roman" w:cs="Times New Roman"/>
          <w:sz w:val="24"/>
          <w:szCs w:val="24"/>
        </w:rPr>
        <w:t xml:space="preserve"> (2013) “</w:t>
      </w:r>
      <w:r w:rsidR="00867E44" w:rsidRPr="00867E44">
        <w:rPr>
          <w:rFonts w:ascii="Times New Roman" w:hAnsi="Times New Roman" w:cs="Times New Roman"/>
          <w:sz w:val="24"/>
          <w:szCs w:val="24"/>
        </w:rPr>
        <w:t>dato che i diritti fondamentali garantiti dalla Carta devono essere rispettati quando una normativa nazionale rientra nell’ambito di applicazione del diritto dell’Unione, non possono quindi esistere casi rientranti nel diritto dell’Unione senza che tali diritti fondamentali trovino applicazione. L’applicabilità del diritto dell’Unione implica quella dei diritti fon</w:t>
      </w:r>
      <w:r w:rsidR="004D71D1">
        <w:rPr>
          <w:rFonts w:ascii="Times New Roman" w:hAnsi="Times New Roman" w:cs="Times New Roman"/>
          <w:sz w:val="24"/>
          <w:szCs w:val="24"/>
        </w:rPr>
        <w:t>damentali garantiti dalla Carta”.</w:t>
      </w:r>
    </w:p>
    <w:p w:rsidR="00C179A3" w:rsidRDefault="004D71D1" w:rsidP="00C179A3">
      <w:pPr>
        <w:ind w:firstLine="708"/>
        <w:jc w:val="both"/>
        <w:rPr>
          <w:rFonts w:ascii="Times New Roman" w:hAnsi="Times New Roman" w:cs="Times New Roman"/>
          <w:bCs/>
          <w:sz w:val="24"/>
          <w:szCs w:val="24"/>
        </w:rPr>
      </w:pPr>
      <w:r w:rsidRPr="00C179A3">
        <w:rPr>
          <w:rFonts w:ascii="Times New Roman" w:hAnsi="Times New Roman" w:cs="Times New Roman"/>
          <w:b/>
          <w:sz w:val="24"/>
          <w:szCs w:val="24"/>
        </w:rPr>
        <w:t>11</w:t>
      </w:r>
      <w:r>
        <w:rPr>
          <w:rFonts w:ascii="Times New Roman" w:hAnsi="Times New Roman" w:cs="Times New Roman"/>
          <w:sz w:val="24"/>
          <w:szCs w:val="24"/>
        </w:rPr>
        <w:t xml:space="preserve"> – In questa pronuncia la Corte </w:t>
      </w:r>
      <w:r w:rsidR="00C179A3">
        <w:rPr>
          <w:rFonts w:ascii="Times New Roman" w:hAnsi="Times New Roman" w:cs="Times New Roman"/>
          <w:sz w:val="24"/>
          <w:szCs w:val="24"/>
        </w:rPr>
        <w:t>ricorda altresì che “</w:t>
      </w:r>
      <w:r w:rsidR="00C179A3" w:rsidRPr="00C179A3">
        <w:rPr>
          <w:rFonts w:ascii="Times New Roman" w:hAnsi="Times New Roman" w:cs="Times New Roman"/>
          <w:bCs/>
          <w:sz w:val="24"/>
          <w:szCs w:val="24"/>
        </w:rPr>
        <w:t xml:space="preserve">il </w:t>
      </w:r>
      <w:r w:rsidR="00C179A3" w:rsidRPr="00C179A3">
        <w:rPr>
          <w:rFonts w:ascii="Times New Roman" w:hAnsi="Times New Roman" w:cs="Times New Roman"/>
          <w:b/>
          <w:bCs/>
          <w:sz w:val="24"/>
          <w:szCs w:val="24"/>
        </w:rPr>
        <w:t>diritto dell’Unione non disciplina i rapporti tra la Convenzione europea per la salvaguardia dei diritti dell’uomo e delle libertà fondamentali, firmata a Roma il 4 novembre 1950, e gli ordinamenti giuridici degli Stati membri e nemmeno determina le conseguenze che un giudice nazionale deve trarre nell’ipotesi di conflitto tra i diritti garantiti da tale convenzione ed una norma di diritto nazionale</w:t>
      </w:r>
      <w:r w:rsidR="00C179A3">
        <w:rPr>
          <w:rFonts w:ascii="Times New Roman" w:hAnsi="Times New Roman" w:cs="Times New Roman"/>
          <w:bCs/>
          <w:sz w:val="24"/>
          <w:szCs w:val="24"/>
        </w:rPr>
        <w:t>”.</w:t>
      </w:r>
    </w:p>
    <w:p w:rsidR="00C179A3" w:rsidRDefault="00C179A3" w:rsidP="002D4C39">
      <w:pPr>
        <w:ind w:firstLine="708"/>
        <w:jc w:val="both"/>
        <w:rPr>
          <w:rFonts w:ascii="Times New Roman" w:hAnsi="Times New Roman" w:cs="Times New Roman"/>
          <w:bCs/>
          <w:sz w:val="24"/>
          <w:szCs w:val="24"/>
        </w:rPr>
      </w:pPr>
      <w:r w:rsidRPr="00C179A3">
        <w:rPr>
          <w:rFonts w:ascii="Times New Roman" w:hAnsi="Times New Roman" w:cs="Times New Roman"/>
          <w:b/>
          <w:bCs/>
          <w:sz w:val="24"/>
          <w:szCs w:val="24"/>
        </w:rPr>
        <w:t xml:space="preserve">12 </w:t>
      </w:r>
      <w:r>
        <w:rPr>
          <w:rFonts w:ascii="Times New Roman" w:hAnsi="Times New Roman" w:cs="Times New Roman"/>
          <w:bCs/>
          <w:sz w:val="24"/>
          <w:szCs w:val="24"/>
        </w:rPr>
        <w:t>– Questo ci richiama alla mente le celeberrime pronunce nn. 348</w:t>
      </w:r>
      <w:r w:rsidR="002529FB">
        <w:rPr>
          <w:rFonts w:ascii="Times New Roman" w:hAnsi="Times New Roman" w:cs="Times New Roman"/>
          <w:bCs/>
          <w:sz w:val="24"/>
          <w:szCs w:val="24"/>
        </w:rPr>
        <w:t xml:space="preserve"> (estens</w:t>
      </w:r>
      <w:r>
        <w:rPr>
          <w:rFonts w:ascii="Times New Roman" w:hAnsi="Times New Roman" w:cs="Times New Roman"/>
          <w:bCs/>
          <w:sz w:val="24"/>
          <w:szCs w:val="24"/>
        </w:rPr>
        <w:t>ore Silvestri) e 349</w:t>
      </w:r>
      <w:r w:rsidR="002529FB">
        <w:rPr>
          <w:rFonts w:ascii="Times New Roman" w:hAnsi="Times New Roman" w:cs="Times New Roman"/>
          <w:bCs/>
          <w:sz w:val="24"/>
          <w:szCs w:val="24"/>
        </w:rPr>
        <w:t xml:space="preserve"> (estensore </w:t>
      </w:r>
      <w:r>
        <w:rPr>
          <w:rFonts w:ascii="Times New Roman" w:hAnsi="Times New Roman" w:cs="Times New Roman"/>
          <w:bCs/>
          <w:sz w:val="24"/>
          <w:szCs w:val="24"/>
        </w:rPr>
        <w:t>Tesauro)  del 2007 della nostra Corte costituzionale che, sia pure con diversa enfasi, h</w:t>
      </w:r>
      <w:r w:rsidR="0056326F">
        <w:rPr>
          <w:rFonts w:ascii="Times New Roman" w:hAnsi="Times New Roman" w:cs="Times New Roman"/>
          <w:bCs/>
          <w:sz w:val="24"/>
          <w:szCs w:val="24"/>
        </w:rPr>
        <w:t xml:space="preserve">anno affermato, da un lato, </w:t>
      </w:r>
      <w:r w:rsidRPr="00C179A3">
        <w:rPr>
          <w:rFonts w:ascii="Times New Roman" w:hAnsi="Times New Roman" w:cs="Times New Roman"/>
          <w:bCs/>
          <w:sz w:val="24"/>
          <w:szCs w:val="24"/>
        </w:rPr>
        <w:t>che il giudice comune non ha il potere di disapplicare la norma legislativa interna ritenuta in contrasto con una norma Cedu, poiché “l’asserita incompatibilità tra le due si presenta come una questione di legittimità costituzionale, per eventuale violazione dell’art. 117, primo comma, Cost., di esclusiva competenza de</w:t>
      </w:r>
      <w:r>
        <w:rPr>
          <w:rFonts w:ascii="Times New Roman" w:hAnsi="Times New Roman" w:cs="Times New Roman"/>
          <w:bCs/>
          <w:sz w:val="24"/>
          <w:szCs w:val="24"/>
        </w:rPr>
        <w:t>l giudice delle leggi”. Ciò tuttavia</w:t>
      </w:r>
      <w:r w:rsidRPr="00C179A3">
        <w:rPr>
          <w:rFonts w:ascii="Times New Roman" w:hAnsi="Times New Roman" w:cs="Times New Roman"/>
          <w:bCs/>
          <w:sz w:val="24"/>
          <w:szCs w:val="24"/>
        </w:rPr>
        <w:t xml:space="preserve"> “non significa che le norme della Cedu, quali interpretate dalla Corte di Strasburgo, acquistano la forza delle norme costituzionali e sono perciò immuni dal controllo di legittimità costituzionale di questa Corte. Proprio perché si tratta di </w:t>
      </w:r>
      <w:r w:rsidRPr="0056326F">
        <w:rPr>
          <w:rFonts w:ascii="Times New Roman" w:hAnsi="Times New Roman" w:cs="Times New Roman"/>
          <w:b/>
          <w:bCs/>
          <w:i/>
          <w:sz w:val="24"/>
          <w:szCs w:val="24"/>
        </w:rPr>
        <w:t>norme che integrano il parametro costituzionale</w:t>
      </w:r>
      <w:r w:rsidRPr="00C179A3">
        <w:rPr>
          <w:rFonts w:ascii="Times New Roman" w:hAnsi="Times New Roman" w:cs="Times New Roman"/>
          <w:bCs/>
          <w:sz w:val="24"/>
          <w:szCs w:val="24"/>
        </w:rPr>
        <w:t xml:space="preserve">, ma rimangono pur sempre ad un livello sub-costituzionale, </w:t>
      </w:r>
      <w:r w:rsidRPr="0056326F">
        <w:rPr>
          <w:rFonts w:ascii="Times New Roman" w:hAnsi="Times New Roman" w:cs="Times New Roman"/>
          <w:b/>
          <w:bCs/>
          <w:i/>
          <w:sz w:val="24"/>
          <w:szCs w:val="24"/>
        </w:rPr>
        <w:t>è necessario che esse siano conformi a Costituzione</w:t>
      </w:r>
      <w:r>
        <w:rPr>
          <w:rFonts w:ascii="Times New Roman" w:hAnsi="Times New Roman" w:cs="Times New Roman"/>
          <w:bCs/>
          <w:sz w:val="24"/>
          <w:szCs w:val="24"/>
        </w:rPr>
        <w:t>”</w:t>
      </w:r>
      <w:r w:rsidRPr="00C179A3">
        <w:rPr>
          <w:rFonts w:ascii="Times New Roman" w:hAnsi="Times New Roman" w:cs="Times New Roman"/>
          <w:bCs/>
          <w:sz w:val="24"/>
          <w:szCs w:val="24"/>
        </w:rPr>
        <w:t>.</w:t>
      </w:r>
    </w:p>
    <w:p w:rsidR="00B31C7D" w:rsidRDefault="00B31C7D" w:rsidP="002D4C39">
      <w:pPr>
        <w:ind w:firstLine="708"/>
        <w:jc w:val="both"/>
        <w:rPr>
          <w:rFonts w:ascii="Times New Roman" w:hAnsi="Times New Roman" w:cs="Times New Roman"/>
          <w:bCs/>
          <w:sz w:val="24"/>
          <w:szCs w:val="24"/>
        </w:rPr>
      </w:pPr>
      <w:r>
        <w:rPr>
          <w:rFonts w:ascii="Times New Roman" w:hAnsi="Times New Roman" w:cs="Times New Roman"/>
          <w:bCs/>
          <w:sz w:val="24"/>
          <w:szCs w:val="24"/>
        </w:rPr>
        <w:lastRenderedPageBreak/>
        <w:t>Diverso il caso dell’Unione europea, posto che “l</w:t>
      </w:r>
      <w:r w:rsidRPr="00B31C7D">
        <w:rPr>
          <w:rFonts w:ascii="Times New Roman" w:hAnsi="Times New Roman" w:cs="Times New Roman"/>
          <w:bCs/>
          <w:sz w:val="24"/>
          <w:szCs w:val="24"/>
        </w:rPr>
        <w:t>'art. 11 Cost., il quale stabilisce, tra l'altro, che l'Italia «consente, in condizioni di parità con gli altri Stati, alle limitazioni di sovranità necessarie ad un ordinamento che assicuri la pace e la giustizia fra le Nazioni», è invece la disposizione che ha permesso di riconoscere alle norme comunitarie efficacia obbligatoria nel nostro ordinamento (sentenze n. 284 del 2007; n. 170 del 1984).</w:t>
      </w:r>
    </w:p>
    <w:p w:rsidR="005D5858" w:rsidRDefault="00B31C7D" w:rsidP="005D5858">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w:t>
      </w:r>
      <w:r w:rsidRPr="00B31C7D">
        <w:rPr>
          <w:rFonts w:ascii="Times New Roman" w:hAnsi="Times New Roman" w:cs="Times New Roman"/>
          <w:bCs/>
          <w:sz w:val="24"/>
          <w:szCs w:val="24"/>
        </w:rPr>
        <w:t>In riferimento alla CEDU, questa Corte ha, inoltre, ritenuto che l'art. 11 Cost. «neppure può venire in considerazione non essendo individuabile, con riferimento alle specifiche norme convenzionali in esame, alcuna limitazione della sovranità nazionale» (sentenza n. 188 del 1980), conclusione che si intende in questa sede ribadire. Va inoltre sottolineato che i diritti fondamentali non possono considerarsi una “materia” in relazione alla quale sia allo stato ipotizzabile, oltre che un'attribuzione di competenza limitata all'interpretazione della Convenzione, anche una cessione di sovranità.</w:t>
      </w:r>
    </w:p>
    <w:p w:rsidR="005D5858" w:rsidRDefault="005D5858" w:rsidP="002D4C39">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Un ulteriore tema cui si è già accennato concerne </w:t>
      </w:r>
      <w:r w:rsidRPr="0056326F">
        <w:rPr>
          <w:rFonts w:ascii="Times New Roman" w:hAnsi="Times New Roman" w:cs="Times New Roman"/>
          <w:b/>
          <w:bCs/>
          <w:i/>
          <w:sz w:val="24"/>
          <w:szCs w:val="24"/>
        </w:rPr>
        <w:t>gli effetti nel tempo delle sentenze</w:t>
      </w:r>
      <w:r>
        <w:rPr>
          <w:rFonts w:ascii="Times New Roman" w:hAnsi="Times New Roman" w:cs="Times New Roman"/>
          <w:bCs/>
          <w:sz w:val="24"/>
          <w:szCs w:val="24"/>
        </w:rPr>
        <w:t xml:space="preserve"> della Corte di giustizia e della Corte costituzionale.</w:t>
      </w:r>
    </w:p>
    <w:p w:rsidR="005D5858" w:rsidRDefault="001965E9" w:rsidP="002D4C39">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Le soluzioni </w:t>
      </w:r>
      <w:r w:rsidR="0056326F">
        <w:rPr>
          <w:rFonts w:ascii="Times New Roman" w:hAnsi="Times New Roman" w:cs="Times New Roman"/>
          <w:bCs/>
          <w:sz w:val="24"/>
          <w:szCs w:val="24"/>
        </w:rPr>
        <w:t xml:space="preserve">offerte dai due ordinamenti </w:t>
      </w:r>
      <w:r>
        <w:rPr>
          <w:rFonts w:ascii="Times New Roman" w:hAnsi="Times New Roman" w:cs="Times New Roman"/>
          <w:bCs/>
          <w:sz w:val="24"/>
          <w:szCs w:val="24"/>
        </w:rPr>
        <w:t xml:space="preserve">sono </w:t>
      </w:r>
      <w:r w:rsidR="005D5858">
        <w:rPr>
          <w:rFonts w:ascii="Times New Roman" w:hAnsi="Times New Roman" w:cs="Times New Roman"/>
          <w:bCs/>
          <w:sz w:val="24"/>
          <w:szCs w:val="24"/>
        </w:rPr>
        <w:t>solo apparentemente simili e/o</w:t>
      </w:r>
      <w:r w:rsidR="0056326F">
        <w:rPr>
          <w:rFonts w:ascii="Times New Roman" w:hAnsi="Times New Roman" w:cs="Times New Roman"/>
          <w:bCs/>
          <w:sz w:val="24"/>
          <w:szCs w:val="24"/>
        </w:rPr>
        <w:t xml:space="preserve"> omologabili nei rispettivi sistemi</w:t>
      </w:r>
      <w:r w:rsidR="005D5858">
        <w:rPr>
          <w:rFonts w:ascii="Times New Roman" w:hAnsi="Times New Roman" w:cs="Times New Roman"/>
          <w:bCs/>
          <w:sz w:val="24"/>
          <w:szCs w:val="24"/>
        </w:rPr>
        <w:t>.</w:t>
      </w:r>
    </w:p>
    <w:p w:rsidR="005D5858" w:rsidRDefault="005D5858" w:rsidP="005D5858">
      <w:pPr>
        <w:ind w:firstLine="708"/>
        <w:jc w:val="both"/>
        <w:rPr>
          <w:rFonts w:ascii="Times New Roman" w:hAnsi="Times New Roman" w:cs="Times New Roman"/>
          <w:sz w:val="24"/>
          <w:szCs w:val="24"/>
        </w:rPr>
      </w:pPr>
      <w:r>
        <w:rPr>
          <w:rFonts w:ascii="Times New Roman" w:hAnsi="Times New Roman" w:cs="Times New Roman"/>
          <w:sz w:val="24"/>
          <w:szCs w:val="24"/>
        </w:rPr>
        <w:t>Partendo dalla Corte di giustizia, si deve assumere come base l’art. 264 TFUE secondo cui “</w:t>
      </w:r>
      <w:r w:rsidRPr="005D5858">
        <w:rPr>
          <w:rFonts w:ascii="Times New Roman" w:hAnsi="Times New Roman" w:cs="Times New Roman"/>
          <w:sz w:val="24"/>
          <w:szCs w:val="24"/>
        </w:rPr>
        <w:t>e il ricorso è fondato, la Corte di giustizia dell'Unione europea dichiara nullo e non avvenuto l'atto impugnato.</w:t>
      </w:r>
      <w:r>
        <w:rPr>
          <w:rFonts w:ascii="Times New Roman" w:hAnsi="Times New Roman" w:cs="Times New Roman"/>
          <w:sz w:val="24"/>
          <w:szCs w:val="24"/>
        </w:rPr>
        <w:t xml:space="preserve"> </w:t>
      </w:r>
      <w:r w:rsidRPr="005D5858">
        <w:rPr>
          <w:rFonts w:ascii="Times New Roman" w:hAnsi="Times New Roman" w:cs="Times New Roman"/>
          <w:b/>
          <w:i/>
          <w:sz w:val="24"/>
          <w:szCs w:val="24"/>
        </w:rPr>
        <w:t>Tuttavia la Corte, ove lo reputi necessario, precisa gli effetti dell'atto annullato che devono essere considerati definitivi</w:t>
      </w:r>
      <w:r>
        <w:rPr>
          <w:rFonts w:ascii="Times New Roman" w:hAnsi="Times New Roman" w:cs="Times New Roman"/>
          <w:sz w:val="24"/>
          <w:szCs w:val="24"/>
        </w:rPr>
        <w:t>”</w:t>
      </w:r>
      <w:r w:rsidRPr="005D5858">
        <w:rPr>
          <w:rFonts w:ascii="Times New Roman" w:hAnsi="Times New Roman" w:cs="Times New Roman"/>
          <w:sz w:val="24"/>
          <w:szCs w:val="24"/>
        </w:rPr>
        <w:t>.</w:t>
      </w:r>
    </w:p>
    <w:p w:rsidR="005D5858" w:rsidRPr="005D5858" w:rsidRDefault="005D5858" w:rsidP="005D5858">
      <w:pPr>
        <w:ind w:firstLine="708"/>
        <w:jc w:val="both"/>
        <w:rPr>
          <w:rFonts w:ascii="Times New Roman" w:hAnsi="Times New Roman" w:cs="Times New Roman"/>
          <w:sz w:val="24"/>
          <w:szCs w:val="24"/>
        </w:rPr>
      </w:pPr>
      <w:r>
        <w:rPr>
          <w:rFonts w:ascii="Times New Roman" w:hAnsi="Times New Roman" w:cs="Times New Roman"/>
          <w:sz w:val="24"/>
          <w:szCs w:val="24"/>
        </w:rPr>
        <w:t>Si ritiene, per dottrina e giurisprudenza unanimi, che la Corte possa utilizzare questo potere</w:t>
      </w:r>
      <w:r w:rsidR="001965E9">
        <w:rPr>
          <w:rFonts w:ascii="Times New Roman" w:hAnsi="Times New Roman" w:cs="Times New Roman"/>
          <w:sz w:val="24"/>
          <w:szCs w:val="24"/>
        </w:rPr>
        <w:t xml:space="preserve"> di modulare gli effetti nel tempo delle proprie pronunce anche in sede di rinvio pregiudiziale ex art. 267 TFUE, cosa che è avvenuta storicamente per la prima volta nel caso </w:t>
      </w:r>
      <w:r w:rsidR="001965E9" w:rsidRPr="001965E9">
        <w:rPr>
          <w:rFonts w:ascii="Times New Roman" w:hAnsi="Times New Roman" w:cs="Times New Roman"/>
          <w:i/>
          <w:sz w:val="24"/>
          <w:szCs w:val="24"/>
        </w:rPr>
        <w:t>Defrenne II</w:t>
      </w:r>
      <w:r w:rsidR="001965E9">
        <w:rPr>
          <w:rFonts w:ascii="Times New Roman" w:hAnsi="Times New Roman" w:cs="Times New Roman"/>
          <w:sz w:val="24"/>
          <w:szCs w:val="24"/>
        </w:rPr>
        <w:t xml:space="preserve"> del 1976: “ </w:t>
      </w:r>
    </w:p>
    <w:p w:rsidR="005D5858" w:rsidRDefault="001965E9" w:rsidP="002D4C39">
      <w:pPr>
        <w:ind w:firstLine="708"/>
        <w:jc w:val="both"/>
        <w:rPr>
          <w:rFonts w:ascii="Times New Roman" w:hAnsi="Times New Roman" w:cs="Times New Roman"/>
          <w:sz w:val="24"/>
          <w:szCs w:val="24"/>
        </w:rPr>
      </w:pPr>
      <w:r>
        <w:rPr>
          <w:rFonts w:ascii="Times New Roman" w:hAnsi="Times New Roman" w:cs="Times New Roman"/>
          <w:sz w:val="24"/>
          <w:szCs w:val="24"/>
        </w:rPr>
        <w:t>“</w:t>
      </w:r>
      <w:r w:rsidRPr="001965E9">
        <w:rPr>
          <w:rFonts w:ascii="Times New Roman" w:hAnsi="Times New Roman" w:cs="Times New Roman"/>
          <w:b/>
          <w:sz w:val="24"/>
          <w:szCs w:val="24"/>
        </w:rPr>
        <w:t>Considerazioni imprescindibili di certezza del diritto</w:t>
      </w:r>
      <w:r w:rsidRPr="001965E9">
        <w:rPr>
          <w:rFonts w:ascii="Times New Roman" w:hAnsi="Times New Roman" w:cs="Times New Roman"/>
          <w:sz w:val="24"/>
          <w:szCs w:val="24"/>
        </w:rPr>
        <w:t xml:space="preserve"> riguardanti il complesso degli interessi in gioco, tanto pubblici quanto privati, ostano in modo assoluto a che vengano rimesse in discussione le retribuzioni relative al passato. L'efficacia diretta dell'art. 119 non può essere fatta valere a sostegno di rivendicazioni relative a periodi di retribuzione anteriori alla data della presente sentenza, </w:t>
      </w:r>
      <w:r w:rsidRPr="001965E9">
        <w:rPr>
          <w:rFonts w:ascii="Times New Roman" w:hAnsi="Times New Roman" w:cs="Times New Roman"/>
          <w:b/>
          <w:sz w:val="24"/>
          <w:szCs w:val="24"/>
        </w:rPr>
        <w:t>eccezion fatta</w:t>
      </w:r>
      <w:r w:rsidRPr="001965E9">
        <w:rPr>
          <w:rFonts w:ascii="Times New Roman" w:hAnsi="Times New Roman" w:cs="Times New Roman"/>
          <w:sz w:val="24"/>
          <w:szCs w:val="24"/>
        </w:rPr>
        <w:t xml:space="preserve"> per i lavoratori che abbiano già promosso un'azione giudiziaria o proposto un reclamo equipollente</w:t>
      </w:r>
      <w:r>
        <w:rPr>
          <w:rFonts w:ascii="Times New Roman" w:hAnsi="Times New Roman" w:cs="Times New Roman"/>
          <w:sz w:val="24"/>
          <w:szCs w:val="24"/>
        </w:rPr>
        <w:t>”</w:t>
      </w:r>
    </w:p>
    <w:p w:rsidR="001965E9" w:rsidRPr="00867E44" w:rsidRDefault="001965E9" w:rsidP="002D4C39">
      <w:pPr>
        <w:ind w:firstLine="708"/>
        <w:jc w:val="both"/>
        <w:rPr>
          <w:rFonts w:ascii="Times New Roman" w:hAnsi="Times New Roman" w:cs="Times New Roman"/>
          <w:sz w:val="24"/>
          <w:szCs w:val="24"/>
        </w:rPr>
      </w:pPr>
      <w:r>
        <w:rPr>
          <w:rFonts w:ascii="Times New Roman" w:hAnsi="Times New Roman" w:cs="Times New Roman"/>
          <w:sz w:val="24"/>
          <w:szCs w:val="24"/>
        </w:rPr>
        <w:t>La Corte costituzionale italiana, in una recente quanto criticatissima pronuncia</w:t>
      </w:r>
      <w:r w:rsidR="002529FB">
        <w:rPr>
          <w:rFonts w:ascii="Times New Roman" w:hAnsi="Times New Roman" w:cs="Times New Roman"/>
          <w:sz w:val="24"/>
          <w:szCs w:val="24"/>
        </w:rPr>
        <w:t xml:space="preserve">, </w:t>
      </w:r>
      <w:r w:rsidR="002529FB" w:rsidRPr="0056326F">
        <w:rPr>
          <w:rFonts w:ascii="Times New Roman" w:hAnsi="Times New Roman" w:cs="Times New Roman"/>
          <w:b/>
          <w:sz w:val="24"/>
          <w:szCs w:val="24"/>
        </w:rPr>
        <w:t>la n. 10</w:t>
      </w:r>
      <w:r w:rsidRPr="0056326F">
        <w:rPr>
          <w:rFonts w:ascii="Times New Roman" w:hAnsi="Times New Roman" w:cs="Times New Roman"/>
          <w:b/>
          <w:sz w:val="24"/>
          <w:szCs w:val="24"/>
        </w:rPr>
        <w:t xml:space="preserve"> del 2015</w:t>
      </w:r>
      <w:r>
        <w:rPr>
          <w:rFonts w:ascii="Times New Roman" w:hAnsi="Times New Roman" w:cs="Times New Roman"/>
          <w:sz w:val="24"/>
          <w:szCs w:val="24"/>
        </w:rPr>
        <w:t xml:space="preserve">, ha affermato, in assenza </w:t>
      </w:r>
      <w:r w:rsidR="002529FB">
        <w:rPr>
          <w:rFonts w:ascii="Times New Roman" w:hAnsi="Times New Roman" w:cs="Times New Roman"/>
          <w:sz w:val="24"/>
          <w:szCs w:val="24"/>
        </w:rPr>
        <w:t xml:space="preserve">peraltro </w:t>
      </w:r>
      <w:r>
        <w:rPr>
          <w:rFonts w:ascii="Times New Roman" w:hAnsi="Times New Roman" w:cs="Times New Roman"/>
          <w:sz w:val="24"/>
          <w:szCs w:val="24"/>
        </w:rPr>
        <w:t>di una norma attributiva di un siffatto potere, che “</w:t>
      </w:r>
      <w:r w:rsidR="002529FB" w:rsidRPr="002529FB">
        <w:rPr>
          <w:rFonts w:ascii="Times New Roman" w:hAnsi="Times New Roman" w:cs="Times New Roman"/>
          <w:sz w:val="24"/>
          <w:szCs w:val="24"/>
        </w:rPr>
        <w:t>La cessazione degli effetti delle norme dichiarate illegittime dal solo giorno della pubblicazione della presente decisione nella Gazzetta Ufficiale della Repubblica risulta, quindi, costituzionalmente necessaria allo scopo di contemperare tutti i principi e i diritti in gioco, in modo da impedire «alterazioni della disponibilità economica a svantaggio di alcuni contribuenti ed a vantaggio di altri […] garantendo il rispetto dei principi di uguaglianza e di solidarietà, che, per il loro carattere fondante, occupano una posizione privilegiata nel bilanciamento con gli altri valori costituzionali» (sentenza n. 264 del 2012). Essa consente, inoltre, al legislatore di provvedere tempestivamente al fine di rispettare il vincolo costituzionale dell’equilibrio di bilancio, anche in senso dinamico (sentenze n. 40 del 2014, n. 266 del 2013, n. 250 del 2013, n. 213 del 2008, n. 384 del 1991 e n. 1 del 1966), e gli obblighi comunitari e internazionali connessi, ciò anche eventualmente rimediando ai rilevati vizi della</w:t>
      </w:r>
      <w:r w:rsidR="002529FB">
        <w:rPr>
          <w:rFonts w:ascii="Times New Roman" w:hAnsi="Times New Roman" w:cs="Times New Roman"/>
          <w:sz w:val="24"/>
          <w:szCs w:val="24"/>
        </w:rPr>
        <w:t xml:space="preserve"> disciplina tributaria in esame” (estensore Cartabia).</w:t>
      </w:r>
    </w:p>
    <w:sectPr w:rsidR="001965E9" w:rsidRPr="00867E44">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EEF" w:rsidRDefault="00A44EEF" w:rsidP="0056326F">
      <w:pPr>
        <w:spacing w:after="0" w:line="240" w:lineRule="auto"/>
      </w:pPr>
      <w:r>
        <w:separator/>
      </w:r>
    </w:p>
  </w:endnote>
  <w:endnote w:type="continuationSeparator" w:id="0">
    <w:p w:rsidR="00A44EEF" w:rsidRDefault="00A44EEF" w:rsidP="005632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2283277"/>
      <w:docPartObj>
        <w:docPartGallery w:val="Page Numbers (Bottom of Page)"/>
        <w:docPartUnique/>
      </w:docPartObj>
    </w:sdtPr>
    <w:sdtEndPr/>
    <w:sdtContent>
      <w:p w:rsidR="0056326F" w:rsidRDefault="0056326F">
        <w:pPr>
          <w:pStyle w:val="Pidipagina"/>
          <w:jc w:val="right"/>
        </w:pPr>
        <w:r>
          <w:fldChar w:fldCharType="begin"/>
        </w:r>
        <w:r>
          <w:instrText>PAGE   \* MERGEFORMAT</w:instrText>
        </w:r>
        <w:r>
          <w:fldChar w:fldCharType="separate"/>
        </w:r>
        <w:r w:rsidR="000D6410">
          <w:rPr>
            <w:noProof/>
          </w:rPr>
          <w:t>3</w:t>
        </w:r>
        <w:r>
          <w:fldChar w:fldCharType="end"/>
        </w:r>
      </w:p>
    </w:sdtContent>
  </w:sdt>
  <w:p w:rsidR="0056326F" w:rsidRDefault="0056326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EEF" w:rsidRDefault="00A44EEF" w:rsidP="0056326F">
      <w:pPr>
        <w:spacing w:after="0" w:line="240" w:lineRule="auto"/>
      </w:pPr>
      <w:r>
        <w:separator/>
      </w:r>
    </w:p>
  </w:footnote>
  <w:footnote w:type="continuationSeparator" w:id="0">
    <w:p w:rsidR="00A44EEF" w:rsidRDefault="00A44EEF" w:rsidP="005632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A16"/>
    <w:rsid w:val="00007624"/>
    <w:rsid w:val="00080586"/>
    <w:rsid w:val="000B56CA"/>
    <w:rsid w:val="000D6410"/>
    <w:rsid w:val="00196276"/>
    <w:rsid w:val="001965E9"/>
    <w:rsid w:val="002529FB"/>
    <w:rsid w:val="002D4C39"/>
    <w:rsid w:val="00423AD0"/>
    <w:rsid w:val="004D71D1"/>
    <w:rsid w:val="005224CB"/>
    <w:rsid w:val="00544A16"/>
    <w:rsid w:val="0056326F"/>
    <w:rsid w:val="005C175E"/>
    <w:rsid w:val="005D5858"/>
    <w:rsid w:val="00867E44"/>
    <w:rsid w:val="00941D4A"/>
    <w:rsid w:val="009675BE"/>
    <w:rsid w:val="00A44EEF"/>
    <w:rsid w:val="00B31C7D"/>
    <w:rsid w:val="00BC2CBA"/>
    <w:rsid w:val="00C179A3"/>
    <w:rsid w:val="00C53621"/>
    <w:rsid w:val="00D30F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D4138-613B-47B6-BB3D-49AC7EAB4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6326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6326F"/>
  </w:style>
  <w:style w:type="paragraph" w:styleId="Pidipagina">
    <w:name w:val="footer"/>
    <w:basedOn w:val="Normale"/>
    <w:link w:val="PidipaginaCarattere"/>
    <w:uiPriority w:val="99"/>
    <w:unhideWhenUsed/>
    <w:rsid w:val="0056326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632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95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9645</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PIVA</dc:creator>
  <cp:keywords/>
  <dc:description/>
  <cp:lastModifiedBy>PAOLO PIVA</cp:lastModifiedBy>
  <cp:revision>2</cp:revision>
  <cp:lastPrinted>2017-01-23T11:05:00Z</cp:lastPrinted>
  <dcterms:created xsi:type="dcterms:W3CDTF">2017-01-23T11:10:00Z</dcterms:created>
  <dcterms:modified xsi:type="dcterms:W3CDTF">2017-01-23T11:10:00Z</dcterms:modified>
</cp:coreProperties>
</file>