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0D" w:rsidRPr="00D37A0D" w:rsidRDefault="00D37A0D" w:rsidP="00D37A0D">
      <w:pPr>
        <w:spacing w:after="0" w:line="360" w:lineRule="auto"/>
        <w:ind w:left="851"/>
        <w:jc w:val="center"/>
        <w:rPr>
          <w:rFonts w:ascii="Times New Roman" w:hAnsi="Times New Roman" w:cs="Times New Roman"/>
          <w:b/>
          <w:sz w:val="28"/>
          <w:szCs w:val="28"/>
        </w:rPr>
      </w:pPr>
      <w:r>
        <w:rPr>
          <w:rFonts w:ascii="Times New Roman" w:hAnsi="Times New Roman" w:cs="Times New Roman"/>
          <w:b/>
          <w:sz w:val="28"/>
          <w:szCs w:val="28"/>
        </w:rPr>
        <w:t>Il caso giudiziario ad oggetto del ricorso per Cassazione, da redigere ad opera del Praticante Avvocato</w:t>
      </w:r>
    </w:p>
    <w:p w:rsidR="00D37A0D" w:rsidRDefault="00D37A0D" w:rsidP="00D37A0D">
      <w:pPr>
        <w:spacing w:after="0" w:line="360" w:lineRule="auto"/>
        <w:ind w:left="851"/>
        <w:jc w:val="both"/>
        <w:rPr>
          <w:rFonts w:ascii="Times New Roman" w:hAnsi="Times New Roman" w:cs="Times New Roman"/>
          <w:sz w:val="28"/>
          <w:szCs w:val="28"/>
        </w:rPr>
      </w:pPr>
    </w:p>
    <w:p w:rsidR="0099492A" w:rsidRDefault="00F6141A" w:rsidP="00D37A0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t xml:space="preserve">Con sentenza del 2009 la Corte di Assise di Verona assolse il Signor A.V. dal delitto di omicidio preterintenzionale in concorso con altri, </w:t>
      </w:r>
      <w:r>
        <w:rPr>
          <w:rFonts w:ascii="Times New Roman" w:hAnsi="Times New Roman" w:cs="Times New Roman"/>
          <w:i/>
          <w:sz w:val="28"/>
          <w:szCs w:val="28"/>
        </w:rPr>
        <w:t>perché il fatto non costituisce reato</w:t>
      </w:r>
      <w:r>
        <w:rPr>
          <w:rFonts w:ascii="Times New Roman" w:hAnsi="Times New Roman" w:cs="Times New Roman"/>
          <w:sz w:val="28"/>
          <w:szCs w:val="28"/>
        </w:rPr>
        <w:t>.</w:t>
      </w:r>
    </w:p>
    <w:p w:rsidR="00F6141A" w:rsidRDefault="00F6141A" w:rsidP="00D37A0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t>Nel 2010 la Corte d’Assise d’Appello di Venezia, pronunciandosi sull’impugnazione proposta dal Procuratore della Repubblica di Verona e dal Procuratore Generale, confermò l’assoluzione.</w:t>
      </w:r>
    </w:p>
    <w:p w:rsidR="00F6141A" w:rsidRDefault="00F6141A" w:rsidP="00D37A0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t>In accoglimento del successivo ricorso per Cassazione, proposto dal Procuratore Gener</w:t>
      </w:r>
      <w:r w:rsidR="00CE575C">
        <w:rPr>
          <w:rFonts w:ascii="Times New Roman" w:hAnsi="Times New Roman" w:cs="Times New Roman"/>
          <w:sz w:val="28"/>
          <w:szCs w:val="28"/>
        </w:rPr>
        <w:t>ale, la Corte di C</w:t>
      </w:r>
      <w:r>
        <w:rPr>
          <w:rFonts w:ascii="Times New Roman" w:hAnsi="Times New Roman" w:cs="Times New Roman"/>
          <w:sz w:val="28"/>
          <w:szCs w:val="28"/>
        </w:rPr>
        <w:t>assazione dispose, nel 2012, l’annullamento della sentenza di assoluzione con rinvio, per un nuovo esame, ad altra Sezione della Corte d’Assise d’Appello di Venezia.</w:t>
      </w:r>
    </w:p>
    <w:p w:rsidR="00F6141A" w:rsidRDefault="00F6141A" w:rsidP="00D37A0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t>La Corte d’Assise d’Appello, giudicando su rinvio, con sentenza del 2015 condannò l’imputato A.V. per concorso nel reato di omicidio preterintenzionale alla pena di anni 6 e mesi 9 di reclusione.</w:t>
      </w:r>
    </w:p>
    <w:p w:rsidR="00F6141A" w:rsidRDefault="00F6141A" w:rsidP="00D37A0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t>Fu proposto ricorso per Cassazione da A.V., per il tramite del suo Difensore.</w:t>
      </w:r>
    </w:p>
    <w:p w:rsidR="00F6141A" w:rsidRDefault="00F6141A" w:rsidP="00D37A0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t>La Corte di Cassazione, con sentenza</w:t>
      </w:r>
      <w:r w:rsidR="00D37A0D">
        <w:rPr>
          <w:rFonts w:ascii="Times New Roman" w:hAnsi="Times New Roman" w:cs="Times New Roman"/>
          <w:sz w:val="28"/>
          <w:szCs w:val="28"/>
        </w:rPr>
        <w:t xml:space="preserve"> del</w:t>
      </w:r>
      <w:r>
        <w:rPr>
          <w:rFonts w:ascii="Times New Roman" w:hAnsi="Times New Roman" w:cs="Times New Roman"/>
          <w:sz w:val="28"/>
          <w:szCs w:val="28"/>
        </w:rPr>
        <w:t xml:space="preserve"> 2016, annullò la sentenza impugnata in relazione alla condanna per il reato di omicidio preterintenzionale e rinviò per un nuovo giudizio ad altra Sezione della Corte d’Assise d’Appello di Venezia.</w:t>
      </w:r>
    </w:p>
    <w:p w:rsidR="00F6141A" w:rsidRDefault="00F6141A" w:rsidP="00D37A0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t xml:space="preserve">La Corte d’Assise d’Appello di Venezia, in sede di rinvio, in riforma della sentenza della Corte d’Assise di Verona, condannò l’imputato per il reato di omicidio preterintenzionale in concorso, </w:t>
      </w:r>
      <w:r>
        <w:rPr>
          <w:rFonts w:ascii="Times New Roman" w:hAnsi="Times New Roman" w:cs="Times New Roman"/>
          <w:i/>
          <w:sz w:val="28"/>
          <w:szCs w:val="28"/>
        </w:rPr>
        <w:t>ex</w:t>
      </w:r>
      <w:r>
        <w:rPr>
          <w:rFonts w:ascii="Times New Roman" w:hAnsi="Times New Roman" w:cs="Times New Roman"/>
          <w:sz w:val="28"/>
          <w:szCs w:val="28"/>
        </w:rPr>
        <w:t xml:space="preserve"> art. 110 c.p., alla pena di anni 6 e mesi 8 di reclusione.</w:t>
      </w:r>
    </w:p>
    <w:p w:rsidR="00F6141A" w:rsidRDefault="00F6141A" w:rsidP="00D37A0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ab/>
        <w:t xml:space="preserve">Premesso che gli </w:t>
      </w:r>
      <w:r w:rsidR="00CE575C">
        <w:rPr>
          <w:rFonts w:ascii="Times New Roman" w:hAnsi="Times New Roman" w:cs="Times New Roman"/>
          <w:sz w:val="28"/>
          <w:szCs w:val="28"/>
        </w:rPr>
        <w:t>e</w:t>
      </w:r>
      <w:r>
        <w:rPr>
          <w:rFonts w:ascii="Times New Roman" w:hAnsi="Times New Roman" w:cs="Times New Roman"/>
          <w:sz w:val="28"/>
          <w:szCs w:val="28"/>
        </w:rPr>
        <w:t xml:space="preserve">secutori materiali dell’omicidio (già condannati con </w:t>
      </w:r>
      <w:r w:rsidR="00CE575C">
        <w:rPr>
          <w:rFonts w:ascii="Times New Roman" w:hAnsi="Times New Roman" w:cs="Times New Roman"/>
          <w:sz w:val="28"/>
          <w:szCs w:val="28"/>
        </w:rPr>
        <w:t>s</w:t>
      </w:r>
      <w:r>
        <w:rPr>
          <w:rFonts w:ascii="Times New Roman" w:hAnsi="Times New Roman" w:cs="Times New Roman"/>
          <w:sz w:val="28"/>
          <w:szCs w:val="28"/>
        </w:rPr>
        <w:t>entenza definitiva) furono persone diverse da A.V., il concorso di A.V. ai sensi dell’art. 110 c.p. fu motivato</w:t>
      </w:r>
      <w:r w:rsidR="00D37A0D">
        <w:rPr>
          <w:rFonts w:ascii="Times New Roman" w:hAnsi="Times New Roman" w:cs="Times New Roman"/>
          <w:sz w:val="28"/>
          <w:szCs w:val="28"/>
        </w:rPr>
        <w:t>, dal Giudice del rinvio,</w:t>
      </w:r>
      <w:r>
        <w:rPr>
          <w:rFonts w:ascii="Times New Roman" w:hAnsi="Times New Roman" w:cs="Times New Roman"/>
          <w:sz w:val="28"/>
          <w:szCs w:val="28"/>
        </w:rPr>
        <w:t xml:space="preserve"> in considerazione dell’intervento “fisico” di A.V. – pacificamente </w:t>
      </w:r>
      <w:r>
        <w:rPr>
          <w:rFonts w:ascii="Times New Roman" w:hAnsi="Times New Roman" w:cs="Times New Roman"/>
          <w:i/>
          <w:sz w:val="28"/>
          <w:szCs w:val="28"/>
        </w:rPr>
        <w:t>non preventivato, né concertato</w:t>
      </w:r>
      <w:r>
        <w:rPr>
          <w:rFonts w:ascii="Times New Roman" w:hAnsi="Times New Roman" w:cs="Times New Roman"/>
          <w:sz w:val="28"/>
          <w:szCs w:val="28"/>
        </w:rPr>
        <w:t xml:space="preserve"> con gli autori materiali dell’omicidio </w:t>
      </w:r>
      <w:r w:rsidR="00CF1F36">
        <w:rPr>
          <w:rFonts w:ascii="Times New Roman" w:hAnsi="Times New Roman" w:cs="Times New Roman"/>
          <w:sz w:val="28"/>
          <w:szCs w:val="28"/>
        </w:rPr>
        <w:t xml:space="preserve">preterintenzionale </w:t>
      </w:r>
      <w:r>
        <w:rPr>
          <w:rFonts w:ascii="Times New Roman" w:hAnsi="Times New Roman" w:cs="Times New Roman"/>
          <w:sz w:val="28"/>
          <w:szCs w:val="28"/>
        </w:rPr>
        <w:t xml:space="preserve">di N.T. – </w:t>
      </w:r>
      <w:r w:rsidR="004C608A">
        <w:rPr>
          <w:rFonts w:ascii="Times New Roman" w:hAnsi="Times New Roman" w:cs="Times New Roman"/>
          <w:sz w:val="28"/>
          <w:szCs w:val="28"/>
        </w:rPr>
        <w:t xml:space="preserve">nei confronti di due coppie di giovani tra loro in colluttazione, nelle vicinanze e nello stesso contesto: </w:t>
      </w:r>
      <w:r w:rsidR="004C608A" w:rsidRPr="00CF1F36">
        <w:rPr>
          <w:rFonts w:ascii="Times New Roman" w:hAnsi="Times New Roman" w:cs="Times New Roman"/>
          <w:i/>
          <w:sz w:val="28"/>
          <w:szCs w:val="28"/>
        </w:rPr>
        <w:t>per fini di pacificazione</w:t>
      </w:r>
      <w:r w:rsidR="004C608A">
        <w:rPr>
          <w:rFonts w:ascii="Times New Roman" w:hAnsi="Times New Roman" w:cs="Times New Roman"/>
          <w:sz w:val="28"/>
          <w:szCs w:val="28"/>
        </w:rPr>
        <w:t xml:space="preserve">, secondo A.V., </w:t>
      </w:r>
      <w:r w:rsidR="004C608A" w:rsidRPr="00CF1F36">
        <w:rPr>
          <w:rFonts w:ascii="Times New Roman" w:hAnsi="Times New Roman" w:cs="Times New Roman"/>
          <w:i/>
          <w:sz w:val="28"/>
          <w:szCs w:val="28"/>
        </w:rPr>
        <w:t>per scopo aggressivo</w:t>
      </w:r>
      <w:r w:rsidR="004C608A">
        <w:rPr>
          <w:rFonts w:ascii="Times New Roman" w:hAnsi="Times New Roman" w:cs="Times New Roman"/>
          <w:sz w:val="28"/>
          <w:szCs w:val="28"/>
        </w:rPr>
        <w:t>, secondo la Corte territoriale.</w:t>
      </w:r>
    </w:p>
    <w:p w:rsidR="004C608A" w:rsidRDefault="004C608A" w:rsidP="00D37A0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t xml:space="preserve">Infatti, a giudizio della Corte veneziana, </w:t>
      </w:r>
      <w:proofErr w:type="spellStart"/>
      <w:r>
        <w:rPr>
          <w:rFonts w:ascii="Times New Roman" w:hAnsi="Times New Roman" w:cs="Times New Roman"/>
          <w:sz w:val="28"/>
          <w:szCs w:val="28"/>
        </w:rPr>
        <w:t>benchè</w:t>
      </w:r>
      <w:proofErr w:type="spellEnd"/>
      <w:r>
        <w:rPr>
          <w:rFonts w:ascii="Times New Roman" w:hAnsi="Times New Roman" w:cs="Times New Roman"/>
          <w:sz w:val="28"/>
          <w:szCs w:val="28"/>
        </w:rPr>
        <w:t xml:space="preserve"> </w:t>
      </w:r>
      <w:r w:rsidR="00CE575C">
        <w:rPr>
          <w:rFonts w:ascii="Times New Roman" w:hAnsi="Times New Roman" w:cs="Times New Roman"/>
          <w:sz w:val="28"/>
          <w:szCs w:val="28"/>
        </w:rPr>
        <w:t>l’</w:t>
      </w:r>
      <w:r>
        <w:rPr>
          <w:rFonts w:ascii="Times New Roman" w:hAnsi="Times New Roman" w:cs="Times New Roman"/>
          <w:sz w:val="28"/>
          <w:szCs w:val="28"/>
        </w:rPr>
        <w:t xml:space="preserve">imputato avesse riferito al dibattimento d’essere intervenuto nel tentativo di separare, in successione, le due coppie in colluttazione, l’intervento di A.V. avrebbe integrato gli estremi di una partecipazione concorsuale nel fatto commesso da altri ai danni di N.T., in base alla considerazione della </w:t>
      </w:r>
      <w:r w:rsidRPr="00CF1F36">
        <w:rPr>
          <w:rFonts w:ascii="Times New Roman" w:hAnsi="Times New Roman" w:cs="Times New Roman"/>
          <w:i/>
          <w:sz w:val="28"/>
          <w:szCs w:val="28"/>
        </w:rPr>
        <w:t>percepibilità</w:t>
      </w:r>
      <w:r>
        <w:rPr>
          <w:rFonts w:ascii="Times New Roman" w:hAnsi="Times New Roman" w:cs="Times New Roman"/>
          <w:sz w:val="28"/>
          <w:szCs w:val="28"/>
        </w:rPr>
        <w:t xml:space="preserve">, da parte di questi ultimi, delle azioni di A.V., </w:t>
      </w:r>
      <w:proofErr w:type="spellStart"/>
      <w:r>
        <w:rPr>
          <w:rFonts w:ascii="Times New Roman" w:hAnsi="Times New Roman" w:cs="Times New Roman"/>
          <w:sz w:val="28"/>
          <w:szCs w:val="28"/>
        </w:rPr>
        <w:t>asseritamente</w:t>
      </w:r>
      <w:proofErr w:type="spellEnd"/>
      <w:r>
        <w:rPr>
          <w:rFonts w:ascii="Times New Roman" w:hAnsi="Times New Roman" w:cs="Times New Roman"/>
          <w:sz w:val="28"/>
          <w:szCs w:val="28"/>
        </w:rPr>
        <w:t xml:space="preserve"> avvertite</w:t>
      </w:r>
      <w:r w:rsidR="00CF1F36">
        <w:rPr>
          <w:rFonts w:ascii="Times New Roman" w:hAnsi="Times New Roman" w:cs="Times New Roman"/>
          <w:sz w:val="28"/>
          <w:szCs w:val="28"/>
        </w:rPr>
        <w:t xml:space="preserve"> (secondo la motivazione)</w:t>
      </w:r>
      <w:r>
        <w:rPr>
          <w:rFonts w:ascii="Times New Roman" w:hAnsi="Times New Roman" w:cs="Times New Roman"/>
          <w:sz w:val="28"/>
          <w:szCs w:val="28"/>
        </w:rPr>
        <w:t xml:space="preserve"> dai soggetti agenti come di </w:t>
      </w:r>
      <w:r>
        <w:rPr>
          <w:rFonts w:ascii="Times New Roman" w:hAnsi="Times New Roman" w:cs="Times New Roman"/>
          <w:i/>
          <w:sz w:val="28"/>
          <w:szCs w:val="28"/>
        </w:rPr>
        <w:t>spalleggiamento</w:t>
      </w:r>
      <w:r>
        <w:rPr>
          <w:rFonts w:ascii="Times New Roman" w:hAnsi="Times New Roman" w:cs="Times New Roman"/>
          <w:sz w:val="28"/>
          <w:szCs w:val="28"/>
        </w:rPr>
        <w:t xml:space="preserve"> e di </w:t>
      </w:r>
      <w:r>
        <w:rPr>
          <w:rFonts w:ascii="Times New Roman" w:hAnsi="Times New Roman" w:cs="Times New Roman"/>
          <w:i/>
          <w:sz w:val="28"/>
          <w:szCs w:val="28"/>
        </w:rPr>
        <w:t>rafforzamento</w:t>
      </w:r>
      <w:r>
        <w:rPr>
          <w:rFonts w:ascii="Times New Roman" w:hAnsi="Times New Roman" w:cs="Times New Roman"/>
          <w:sz w:val="28"/>
          <w:szCs w:val="28"/>
        </w:rPr>
        <w:t xml:space="preserve"> della loro azione aggressiva ai danni di N.T..  Si noti che gli autori materiali del reato non si sottoposero ad esame dibattimentale.</w:t>
      </w:r>
    </w:p>
    <w:p w:rsidR="004C608A" w:rsidRDefault="004C608A" w:rsidP="00D37A0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t xml:space="preserve">La </w:t>
      </w:r>
      <w:r>
        <w:rPr>
          <w:rFonts w:ascii="Times New Roman" w:hAnsi="Times New Roman" w:cs="Times New Roman"/>
          <w:i/>
          <w:sz w:val="28"/>
          <w:szCs w:val="28"/>
        </w:rPr>
        <w:t>percepibilità</w:t>
      </w:r>
      <w:r>
        <w:rPr>
          <w:rFonts w:ascii="Times New Roman" w:hAnsi="Times New Roman" w:cs="Times New Roman"/>
          <w:sz w:val="28"/>
          <w:szCs w:val="28"/>
        </w:rPr>
        <w:t xml:space="preserve"> fu dalla Corte d’Assise d’Appello desunta dallo spazio limitato del teatro dell’azione, ben noto – </w:t>
      </w:r>
      <w:r w:rsidR="00CF1F36">
        <w:rPr>
          <w:rFonts w:ascii="Times New Roman" w:hAnsi="Times New Roman" w:cs="Times New Roman"/>
          <w:sz w:val="28"/>
          <w:szCs w:val="28"/>
        </w:rPr>
        <w:t>giusta la</w:t>
      </w:r>
      <w:r>
        <w:rPr>
          <w:rFonts w:ascii="Times New Roman" w:hAnsi="Times New Roman" w:cs="Times New Roman"/>
          <w:sz w:val="28"/>
          <w:szCs w:val="28"/>
        </w:rPr>
        <w:t xml:space="preserve"> motivazione della sentenza </w:t>
      </w:r>
      <w:r>
        <w:rPr>
          <w:rFonts w:ascii="Times New Roman" w:hAnsi="Times New Roman" w:cs="Times New Roman"/>
          <w:i/>
          <w:sz w:val="28"/>
          <w:szCs w:val="28"/>
        </w:rPr>
        <w:t>de qua</w:t>
      </w:r>
      <w:r>
        <w:rPr>
          <w:rFonts w:ascii="Times New Roman" w:hAnsi="Times New Roman" w:cs="Times New Roman"/>
          <w:sz w:val="28"/>
          <w:szCs w:val="28"/>
        </w:rPr>
        <w:t xml:space="preserve"> – agli imputati, </w:t>
      </w:r>
      <w:r w:rsidR="00CF1F36">
        <w:rPr>
          <w:rFonts w:ascii="Times New Roman" w:hAnsi="Times New Roman" w:cs="Times New Roman"/>
          <w:sz w:val="28"/>
          <w:szCs w:val="28"/>
        </w:rPr>
        <w:t xml:space="preserve">tutti della provincia </w:t>
      </w:r>
      <w:r>
        <w:rPr>
          <w:rFonts w:ascii="Times New Roman" w:hAnsi="Times New Roman" w:cs="Times New Roman"/>
          <w:sz w:val="28"/>
          <w:szCs w:val="28"/>
        </w:rPr>
        <w:t>verones</w:t>
      </w:r>
      <w:r w:rsidR="00CF1F36">
        <w:rPr>
          <w:rFonts w:ascii="Times New Roman" w:hAnsi="Times New Roman" w:cs="Times New Roman"/>
          <w:sz w:val="28"/>
          <w:szCs w:val="28"/>
        </w:rPr>
        <w:t>e</w:t>
      </w:r>
      <w:r>
        <w:rPr>
          <w:rFonts w:ascii="Times New Roman" w:hAnsi="Times New Roman" w:cs="Times New Roman"/>
          <w:sz w:val="28"/>
          <w:szCs w:val="28"/>
        </w:rPr>
        <w:t xml:space="preserve">, come </w:t>
      </w:r>
      <w:r w:rsidR="00CF1F36">
        <w:rPr>
          <w:rFonts w:ascii="Times New Roman" w:hAnsi="Times New Roman" w:cs="Times New Roman"/>
          <w:sz w:val="28"/>
          <w:szCs w:val="28"/>
        </w:rPr>
        <w:t xml:space="preserve">ben noto </w:t>
      </w:r>
      <w:r>
        <w:rPr>
          <w:rFonts w:ascii="Times New Roman" w:hAnsi="Times New Roman" w:cs="Times New Roman"/>
          <w:sz w:val="28"/>
          <w:szCs w:val="28"/>
        </w:rPr>
        <w:t>pure allo stesso Presidente della Corte territoriale, anch’egli di Verona.</w:t>
      </w:r>
    </w:p>
    <w:p w:rsidR="004C608A" w:rsidRDefault="004C608A" w:rsidP="00D37A0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t xml:space="preserve">Al riguardo, la Difesa di A.V. aveva formulato, tempestivamente, alla Corte d’Assise d’Appello di Verona, nel giudizio di rinvio, una </w:t>
      </w:r>
      <w:proofErr w:type="gramStart"/>
      <w:r>
        <w:rPr>
          <w:rFonts w:ascii="Times New Roman" w:hAnsi="Times New Roman" w:cs="Times New Roman"/>
          <w:sz w:val="28"/>
          <w:szCs w:val="28"/>
        </w:rPr>
        <w:t xml:space="preserve">richiesta </w:t>
      </w:r>
      <w:r w:rsidR="00D803E6">
        <w:rPr>
          <w:rFonts w:ascii="Times New Roman" w:hAnsi="Times New Roman" w:cs="Times New Roman"/>
          <w:sz w:val="28"/>
          <w:szCs w:val="28"/>
        </w:rPr>
        <w:t xml:space="preserve"> </w:t>
      </w:r>
      <w:bookmarkStart w:id="0" w:name="_GoBack"/>
      <w:bookmarkEnd w:id="0"/>
      <w:r>
        <w:rPr>
          <w:rFonts w:ascii="Times New Roman" w:hAnsi="Times New Roman" w:cs="Times New Roman"/>
          <w:i/>
          <w:sz w:val="28"/>
          <w:szCs w:val="28"/>
        </w:rPr>
        <w:t>ad</w:t>
      </w:r>
      <w:proofErr w:type="gramEnd"/>
      <w:r>
        <w:rPr>
          <w:rFonts w:ascii="Times New Roman" w:hAnsi="Times New Roman" w:cs="Times New Roman"/>
          <w:i/>
          <w:sz w:val="28"/>
          <w:szCs w:val="28"/>
        </w:rPr>
        <w:t xml:space="preserve"> hoc</w:t>
      </w:r>
      <w:r>
        <w:rPr>
          <w:rFonts w:ascii="Times New Roman" w:hAnsi="Times New Roman" w:cs="Times New Roman"/>
          <w:sz w:val="28"/>
          <w:szCs w:val="28"/>
        </w:rPr>
        <w:t xml:space="preserve">, </w:t>
      </w:r>
      <w:r w:rsidR="00CF1F36">
        <w:rPr>
          <w:rFonts w:ascii="Times New Roman" w:hAnsi="Times New Roman" w:cs="Times New Roman"/>
          <w:sz w:val="28"/>
          <w:szCs w:val="28"/>
        </w:rPr>
        <w:t>finalizzata all’</w:t>
      </w:r>
      <w:r>
        <w:rPr>
          <w:rFonts w:ascii="Times New Roman" w:hAnsi="Times New Roman" w:cs="Times New Roman"/>
          <w:sz w:val="28"/>
          <w:szCs w:val="28"/>
        </w:rPr>
        <w:t>acquisizione di</w:t>
      </w:r>
      <w:r w:rsidR="00CF1F36">
        <w:rPr>
          <w:rFonts w:ascii="Times New Roman" w:hAnsi="Times New Roman" w:cs="Times New Roman"/>
          <w:sz w:val="28"/>
          <w:szCs w:val="28"/>
        </w:rPr>
        <w:t xml:space="preserve"> una</w:t>
      </w:r>
      <w:r>
        <w:rPr>
          <w:rFonts w:ascii="Times New Roman" w:hAnsi="Times New Roman" w:cs="Times New Roman"/>
          <w:sz w:val="28"/>
          <w:szCs w:val="28"/>
        </w:rPr>
        <w:t xml:space="preserve"> rappresentazione topografica </w:t>
      </w:r>
      <w:r w:rsidR="00CF1F36">
        <w:rPr>
          <w:rFonts w:ascii="Times New Roman" w:hAnsi="Times New Roman" w:cs="Times New Roman"/>
          <w:sz w:val="28"/>
          <w:szCs w:val="28"/>
        </w:rPr>
        <w:t xml:space="preserve">e fotografica </w:t>
      </w:r>
      <w:r>
        <w:rPr>
          <w:rFonts w:ascii="Times New Roman" w:hAnsi="Times New Roman" w:cs="Times New Roman"/>
          <w:sz w:val="28"/>
          <w:szCs w:val="28"/>
        </w:rPr>
        <w:lastRenderedPageBreak/>
        <w:t>del luogo dell’omicidio e di documentazione sullo stato dell’</w:t>
      </w:r>
      <w:r w:rsidR="00CF1F36">
        <w:rPr>
          <w:rFonts w:ascii="Times New Roman" w:hAnsi="Times New Roman" w:cs="Times New Roman"/>
          <w:sz w:val="28"/>
          <w:szCs w:val="28"/>
        </w:rPr>
        <w:t>illuminazione insistente</w:t>
      </w:r>
      <w:r w:rsidR="004A71F5">
        <w:rPr>
          <w:rFonts w:ascii="Times New Roman" w:hAnsi="Times New Roman" w:cs="Times New Roman"/>
          <w:sz w:val="28"/>
          <w:szCs w:val="28"/>
        </w:rPr>
        <w:t>,</w:t>
      </w:r>
      <w:r w:rsidR="00CF1F36">
        <w:rPr>
          <w:rFonts w:ascii="Times New Roman" w:hAnsi="Times New Roman" w:cs="Times New Roman"/>
          <w:sz w:val="28"/>
          <w:szCs w:val="28"/>
        </w:rPr>
        <w:t xml:space="preserve"> nell’</w:t>
      </w:r>
      <w:r>
        <w:rPr>
          <w:rFonts w:ascii="Times New Roman" w:hAnsi="Times New Roman" w:cs="Times New Roman"/>
          <w:sz w:val="28"/>
          <w:szCs w:val="28"/>
        </w:rPr>
        <w:t>orario corrispondente a quello in cui avvenne l’omicidio</w:t>
      </w:r>
      <w:r w:rsidR="00CF1F36">
        <w:rPr>
          <w:rFonts w:ascii="Times New Roman" w:hAnsi="Times New Roman" w:cs="Times New Roman"/>
          <w:sz w:val="28"/>
          <w:szCs w:val="28"/>
        </w:rPr>
        <w:t xml:space="preserve"> </w:t>
      </w:r>
      <w:r w:rsidR="00CF1F36">
        <w:rPr>
          <w:rFonts w:ascii="Times New Roman" w:hAnsi="Times New Roman" w:cs="Times New Roman"/>
          <w:i/>
          <w:sz w:val="28"/>
          <w:szCs w:val="28"/>
        </w:rPr>
        <w:t>de quo</w:t>
      </w:r>
      <w:r>
        <w:rPr>
          <w:rFonts w:ascii="Times New Roman" w:hAnsi="Times New Roman" w:cs="Times New Roman"/>
          <w:sz w:val="28"/>
          <w:szCs w:val="28"/>
        </w:rPr>
        <w:t>.</w:t>
      </w:r>
    </w:p>
    <w:p w:rsidR="004C608A" w:rsidRDefault="004C608A" w:rsidP="00D37A0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t xml:space="preserve">La Corte d’Assise d’Appello non accolse la richiesta difensiva, </w:t>
      </w:r>
      <w:r w:rsidR="00CF1F36">
        <w:rPr>
          <w:rFonts w:ascii="Times New Roman" w:hAnsi="Times New Roman" w:cs="Times New Roman"/>
          <w:sz w:val="28"/>
          <w:szCs w:val="28"/>
        </w:rPr>
        <w:t xml:space="preserve">conseguentemente </w:t>
      </w:r>
      <w:r>
        <w:rPr>
          <w:rFonts w:ascii="Times New Roman" w:hAnsi="Times New Roman" w:cs="Times New Roman"/>
          <w:sz w:val="28"/>
          <w:szCs w:val="28"/>
        </w:rPr>
        <w:t>non disponendo alcuna rinnovazione dell’istruzione, né pronunciando un provvedimento specifico sul punto.</w:t>
      </w:r>
    </w:p>
    <w:p w:rsidR="004C608A" w:rsidRPr="004C608A" w:rsidRDefault="004C608A" w:rsidP="00D37A0D">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ab/>
        <w:t>Si predisponga</w:t>
      </w:r>
      <w:r w:rsidR="00CF1F36">
        <w:rPr>
          <w:rFonts w:ascii="Times New Roman" w:hAnsi="Times New Roman" w:cs="Times New Roman"/>
          <w:sz w:val="28"/>
          <w:szCs w:val="28"/>
        </w:rPr>
        <w:t xml:space="preserve"> il</w:t>
      </w:r>
      <w:r>
        <w:rPr>
          <w:rFonts w:ascii="Times New Roman" w:hAnsi="Times New Roman" w:cs="Times New Roman"/>
          <w:sz w:val="28"/>
          <w:szCs w:val="28"/>
        </w:rPr>
        <w:t xml:space="preserve"> ricorso per Cassazione nell’interesse di A.V. nel rispetto delle norme giuridiche pertinen</w:t>
      </w:r>
      <w:r w:rsidR="00CD2D3B">
        <w:rPr>
          <w:rFonts w:ascii="Times New Roman" w:hAnsi="Times New Roman" w:cs="Times New Roman"/>
          <w:sz w:val="28"/>
          <w:szCs w:val="28"/>
        </w:rPr>
        <w:t>t</w:t>
      </w:r>
      <w:r>
        <w:rPr>
          <w:rFonts w:ascii="Times New Roman" w:hAnsi="Times New Roman" w:cs="Times New Roman"/>
          <w:sz w:val="28"/>
          <w:szCs w:val="28"/>
        </w:rPr>
        <w:t>i</w:t>
      </w:r>
      <w:r w:rsidR="00CF1F36">
        <w:rPr>
          <w:rFonts w:ascii="Times New Roman" w:hAnsi="Times New Roman" w:cs="Times New Roman"/>
          <w:sz w:val="28"/>
          <w:szCs w:val="28"/>
        </w:rPr>
        <w:t xml:space="preserve"> e di tutti i requisiti di ammissibilità stabiliti dalla legge</w:t>
      </w:r>
      <w:r>
        <w:rPr>
          <w:rFonts w:ascii="Times New Roman" w:hAnsi="Times New Roman" w:cs="Times New Roman"/>
          <w:sz w:val="28"/>
          <w:szCs w:val="28"/>
        </w:rPr>
        <w:t>.</w:t>
      </w:r>
    </w:p>
    <w:sectPr w:rsidR="004C608A" w:rsidRPr="004C608A" w:rsidSect="00CE575C">
      <w:footerReference w:type="default" r:id="rId6"/>
      <w:pgSz w:w="11906" w:h="16838"/>
      <w:pgMar w:top="1417" w:right="25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C0" w:rsidRDefault="004F13C0" w:rsidP="00A65AA8">
      <w:pPr>
        <w:spacing w:after="0" w:line="240" w:lineRule="auto"/>
      </w:pPr>
      <w:r>
        <w:separator/>
      </w:r>
    </w:p>
  </w:endnote>
  <w:endnote w:type="continuationSeparator" w:id="0">
    <w:p w:rsidR="004F13C0" w:rsidRDefault="004F13C0" w:rsidP="00A6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945309"/>
      <w:docPartObj>
        <w:docPartGallery w:val="Page Numbers (Bottom of Page)"/>
        <w:docPartUnique/>
      </w:docPartObj>
    </w:sdtPr>
    <w:sdtEndPr/>
    <w:sdtContent>
      <w:p w:rsidR="00A65AA8" w:rsidRDefault="00A65AA8">
        <w:pPr>
          <w:pStyle w:val="Pidipagina"/>
          <w:jc w:val="right"/>
        </w:pPr>
        <w:r>
          <w:fldChar w:fldCharType="begin"/>
        </w:r>
        <w:r>
          <w:instrText>PAGE   \* MERGEFORMAT</w:instrText>
        </w:r>
        <w:r>
          <w:fldChar w:fldCharType="separate"/>
        </w:r>
        <w:r w:rsidR="00D803E6">
          <w:rPr>
            <w:noProof/>
          </w:rPr>
          <w:t>3</w:t>
        </w:r>
        <w:r>
          <w:fldChar w:fldCharType="end"/>
        </w:r>
      </w:p>
    </w:sdtContent>
  </w:sdt>
  <w:p w:rsidR="00A65AA8" w:rsidRDefault="00A65A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C0" w:rsidRDefault="004F13C0" w:rsidP="00A65AA8">
      <w:pPr>
        <w:spacing w:after="0" w:line="240" w:lineRule="auto"/>
      </w:pPr>
      <w:r>
        <w:separator/>
      </w:r>
    </w:p>
  </w:footnote>
  <w:footnote w:type="continuationSeparator" w:id="0">
    <w:p w:rsidR="004F13C0" w:rsidRDefault="004F13C0" w:rsidP="00A65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1A"/>
    <w:rsid w:val="004A71F5"/>
    <w:rsid w:val="004C608A"/>
    <w:rsid w:val="004F13C0"/>
    <w:rsid w:val="0099492A"/>
    <w:rsid w:val="00A23AAD"/>
    <w:rsid w:val="00A65AA8"/>
    <w:rsid w:val="00CD2D3B"/>
    <w:rsid w:val="00CE575C"/>
    <w:rsid w:val="00CF1F36"/>
    <w:rsid w:val="00D37A0D"/>
    <w:rsid w:val="00D803E6"/>
    <w:rsid w:val="00F61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F21AF-0205-430A-BE41-5D3EA9C3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57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575C"/>
    <w:rPr>
      <w:rFonts w:ascii="Segoe UI" w:hAnsi="Segoe UI" w:cs="Segoe UI"/>
      <w:sz w:val="18"/>
      <w:szCs w:val="18"/>
    </w:rPr>
  </w:style>
  <w:style w:type="paragraph" w:styleId="Intestazione">
    <w:name w:val="header"/>
    <w:basedOn w:val="Normale"/>
    <w:link w:val="IntestazioneCarattere"/>
    <w:uiPriority w:val="99"/>
    <w:unhideWhenUsed/>
    <w:rsid w:val="00A65A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5AA8"/>
  </w:style>
  <w:style w:type="paragraph" w:styleId="Pidipagina">
    <w:name w:val="footer"/>
    <w:basedOn w:val="Normale"/>
    <w:link w:val="PidipaginaCarattere"/>
    <w:uiPriority w:val="99"/>
    <w:unhideWhenUsed/>
    <w:rsid w:val="00A65A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568</Words>
  <Characters>3243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Utente01</dc:creator>
  <cp:keywords/>
  <dc:description/>
  <cp:lastModifiedBy>Utente01</cp:lastModifiedBy>
  <cp:revision>7</cp:revision>
  <cp:lastPrinted>2019-09-24T15:24:00Z</cp:lastPrinted>
  <dcterms:created xsi:type="dcterms:W3CDTF">2019-09-24T14:06:00Z</dcterms:created>
  <dcterms:modified xsi:type="dcterms:W3CDTF">2019-09-30T07:45:00Z</dcterms:modified>
</cp:coreProperties>
</file>