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DBA9B" w14:textId="77777777" w:rsidR="004B2FAC" w:rsidRPr="004B2FAC" w:rsidRDefault="004B2FAC" w:rsidP="004B2FAC">
      <w:pPr>
        <w:pStyle w:val="Stile14ptGrassettoCentrato"/>
        <w:spacing w:line="360" w:lineRule="auto"/>
        <w:rPr>
          <w:rFonts w:ascii="Times New Roman" w:hAnsi="Times New Roman"/>
          <w:sz w:val="24"/>
          <w:szCs w:val="24"/>
        </w:rPr>
      </w:pPr>
      <w:r w:rsidRPr="004B2FAC">
        <w:rPr>
          <w:rFonts w:ascii="Times New Roman" w:hAnsi="Times New Roman"/>
          <w:sz w:val="24"/>
          <w:szCs w:val="24"/>
        </w:rPr>
        <w:t>SCUOLA FORENSE DI PADOVA</w:t>
      </w:r>
    </w:p>
    <w:p w14:paraId="46ED4770" w14:textId="77777777" w:rsidR="004B2FAC" w:rsidRPr="004B2FAC" w:rsidRDefault="004B2FAC" w:rsidP="004B2FAC">
      <w:pPr>
        <w:pStyle w:val="Stile14ptGrassettoCentrato"/>
        <w:spacing w:line="360" w:lineRule="auto"/>
        <w:rPr>
          <w:rFonts w:ascii="Times New Roman" w:hAnsi="Times New Roman"/>
          <w:sz w:val="24"/>
          <w:szCs w:val="24"/>
        </w:rPr>
      </w:pPr>
      <w:r w:rsidRPr="004B2FAC">
        <w:rPr>
          <w:rFonts w:ascii="Times New Roman" w:hAnsi="Times New Roman"/>
          <w:b w:val="0"/>
          <w:sz w:val="24"/>
          <w:szCs w:val="24"/>
        </w:rPr>
        <w:t xml:space="preserve"> </w:t>
      </w:r>
      <w:r w:rsidRPr="004B2FAC">
        <w:rPr>
          <w:rFonts w:ascii="Times New Roman" w:hAnsi="Times New Roman"/>
          <w:sz w:val="24"/>
          <w:szCs w:val="24"/>
        </w:rPr>
        <w:t xml:space="preserve">Le preclusioni in prima udienza e nelle memorie </w:t>
      </w:r>
      <w:r w:rsidRPr="004B2FAC">
        <w:rPr>
          <w:rFonts w:ascii="Times New Roman" w:hAnsi="Times New Roman"/>
          <w:i/>
          <w:iCs/>
          <w:sz w:val="24"/>
          <w:szCs w:val="24"/>
        </w:rPr>
        <w:t>ex</w:t>
      </w:r>
      <w:r w:rsidRPr="004B2FAC">
        <w:rPr>
          <w:rFonts w:ascii="Times New Roman" w:hAnsi="Times New Roman"/>
          <w:sz w:val="24"/>
          <w:szCs w:val="24"/>
        </w:rPr>
        <w:t xml:space="preserve"> art. 183, co. 6, c.p.c.</w:t>
      </w:r>
    </w:p>
    <w:p w14:paraId="1E5D7D73" w14:textId="423B4080" w:rsidR="004B2FAC" w:rsidRPr="004B2FAC" w:rsidRDefault="004B2FAC" w:rsidP="004B2FAC">
      <w:pPr>
        <w:pStyle w:val="Stile14ptGrassettoCentrato"/>
        <w:spacing w:line="360" w:lineRule="auto"/>
        <w:rPr>
          <w:rFonts w:ascii="Times New Roman" w:hAnsi="Times New Roman"/>
          <w:b w:val="0"/>
          <w:i/>
          <w:iCs/>
          <w:sz w:val="24"/>
          <w:szCs w:val="24"/>
        </w:rPr>
      </w:pPr>
      <w:r>
        <w:rPr>
          <w:rFonts w:ascii="Times New Roman" w:hAnsi="Times New Roman"/>
          <w:sz w:val="24"/>
          <w:szCs w:val="24"/>
        </w:rPr>
        <w:t>c</w:t>
      </w:r>
      <w:r w:rsidRPr="004B2FAC">
        <w:rPr>
          <w:rFonts w:ascii="Times New Roman" w:hAnsi="Times New Roman"/>
          <w:sz w:val="24"/>
          <w:szCs w:val="24"/>
        </w:rPr>
        <w:t xml:space="preserve">on </w:t>
      </w:r>
      <w:r w:rsidRPr="00A47C47">
        <w:rPr>
          <w:rFonts w:ascii="Times New Roman" w:hAnsi="Times New Roman"/>
          <w:i/>
          <w:iCs/>
          <w:sz w:val="24"/>
          <w:szCs w:val="24"/>
        </w:rPr>
        <w:t>focus</w:t>
      </w:r>
      <w:r w:rsidRPr="004B2FAC">
        <w:rPr>
          <w:rFonts w:ascii="Times New Roman" w:hAnsi="Times New Roman"/>
          <w:sz w:val="24"/>
          <w:szCs w:val="24"/>
        </w:rPr>
        <w:t xml:space="preserve"> su </w:t>
      </w:r>
      <w:r w:rsidRPr="004B2FAC">
        <w:rPr>
          <w:rFonts w:ascii="Times New Roman" w:hAnsi="Times New Roman"/>
          <w:i/>
          <w:iCs/>
          <w:sz w:val="24"/>
          <w:szCs w:val="24"/>
        </w:rPr>
        <w:t>mutatio</w:t>
      </w:r>
      <w:r w:rsidRPr="004B2FAC">
        <w:rPr>
          <w:rFonts w:ascii="Times New Roman" w:hAnsi="Times New Roman"/>
          <w:sz w:val="24"/>
          <w:szCs w:val="24"/>
        </w:rPr>
        <w:t xml:space="preserve"> ed </w:t>
      </w:r>
      <w:r w:rsidRPr="004B2FAC">
        <w:rPr>
          <w:rFonts w:ascii="Times New Roman" w:hAnsi="Times New Roman"/>
          <w:i/>
          <w:iCs/>
          <w:sz w:val="24"/>
          <w:szCs w:val="24"/>
        </w:rPr>
        <w:t>emendatio libelli</w:t>
      </w:r>
      <w:r w:rsidRPr="004B2FAC">
        <w:rPr>
          <w:rFonts w:ascii="Times New Roman" w:hAnsi="Times New Roman"/>
          <w:b w:val="0"/>
          <w:i/>
          <w:iCs/>
          <w:sz w:val="24"/>
          <w:szCs w:val="24"/>
        </w:rPr>
        <w:t xml:space="preserve"> </w:t>
      </w:r>
    </w:p>
    <w:p w14:paraId="03A26BE3" w14:textId="762636A7" w:rsidR="004B2FAC" w:rsidRDefault="004B2FAC" w:rsidP="004B2FAC">
      <w:pPr>
        <w:pStyle w:val="Stile14ptGrassettoCentrato"/>
        <w:spacing w:line="360" w:lineRule="auto"/>
        <w:rPr>
          <w:rFonts w:ascii="Times New Roman" w:hAnsi="Times New Roman"/>
          <w:b w:val="0"/>
          <w:sz w:val="24"/>
          <w:szCs w:val="24"/>
        </w:rPr>
      </w:pPr>
      <w:r w:rsidRPr="004B2FAC">
        <w:rPr>
          <w:rFonts w:ascii="Times New Roman" w:hAnsi="Times New Roman"/>
          <w:b w:val="0"/>
          <w:sz w:val="24"/>
          <w:szCs w:val="24"/>
        </w:rPr>
        <w:t>(29 giugno 2020)</w:t>
      </w:r>
    </w:p>
    <w:p w14:paraId="330BA1CD" w14:textId="77777777" w:rsidR="004B2FAC" w:rsidRPr="004B2FAC" w:rsidRDefault="004B2FAC" w:rsidP="004B2FAC">
      <w:pPr>
        <w:pStyle w:val="Stile14ptGrassettoCentrato"/>
        <w:spacing w:line="360" w:lineRule="auto"/>
        <w:rPr>
          <w:rFonts w:ascii="Times New Roman" w:hAnsi="Times New Roman"/>
          <w:b w:val="0"/>
          <w:sz w:val="24"/>
          <w:szCs w:val="24"/>
        </w:rPr>
      </w:pPr>
    </w:p>
    <w:p w14:paraId="621FA61A" w14:textId="77777777" w:rsidR="00D40728" w:rsidRDefault="00D40728" w:rsidP="00D74525">
      <w:pPr>
        <w:spacing w:after="0" w:line="276" w:lineRule="auto"/>
        <w:jc w:val="both"/>
        <w:rPr>
          <w:sz w:val="24"/>
        </w:rPr>
      </w:pPr>
      <w:r>
        <w:rPr>
          <w:sz w:val="24"/>
        </w:rPr>
        <w:t>CASO 1</w:t>
      </w:r>
    </w:p>
    <w:p w14:paraId="6815EF2A" w14:textId="07299AAD" w:rsidR="006528FF" w:rsidRDefault="001062CC" w:rsidP="00D74525">
      <w:pPr>
        <w:spacing w:after="0" w:line="276" w:lineRule="auto"/>
        <w:jc w:val="both"/>
        <w:rPr>
          <w:sz w:val="24"/>
        </w:rPr>
      </w:pPr>
      <w:r>
        <w:rPr>
          <w:sz w:val="24"/>
        </w:rPr>
        <w:t>Mevi</w:t>
      </w:r>
      <w:r w:rsidR="006528FF">
        <w:rPr>
          <w:sz w:val="24"/>
        </w:rPr>
        <w:t>a</w:t>
      </w:r>
      <w:r w:rsidR="001F6E89">
        <w:rPr>
          <w:sz w:val="24"/>
        </w:rPr>
        <w:t>,</w:t>
      </w:r>
      <w:r>
        <w:rPr>
          <w:sz w:val="24"/>
        </w:rPr>
        <w:t xml:space="preserve"> </w:t>
      </w:r>
      <w:r w:rsidR="001F6E89">
        <w:rPr>
          <w:sz w:val="24"/>
        </w:rPr>
        <w:t xml:space="preserve">promissaria acquirente, </w:t>
      </w:r>
      <w:r>
        <w:rPr>
          <w:sz w:val="24"/>
        </w:rPr>
        <w:t>e Filano</w:t>
      </w:r>
      <w:r w:rsidR="001F6E89">
        <w:rPr>
          <w:sz w:val="24"/>
        </w:rPr>
        <w:t>,</w:t>
      </w:r>
      <w:r>
        <w:rPr>
          <w:sz w:val="24"/>
        </w:rPr>
        <w:t xml:space="preserve"> </w:t>
      </w:r>
      <w:r w:rsidR="001F6E89">
        <w:rPr>
          <w:sz w:val="24"/>
        </w:rPr>
        <w:t xml:space="preserve">promittente venditore, </w:t>
      </w:r>
      <w:r>
        <w:rPr>
          <w:sz w:val="24"/>
        </w:rPr>
        <w:t xml:space="preserve">concludono un preliminare di </w:t>
      </w:r>
      <w:r w:rsidR="006A3E70">
        <w:rPr>
          <w:sz w:val="24"/>
        </w:rPr>
        <w:t>compra</w:t>
      </w:r>
      <w:r>
        <w:rPr>
          <w:sz w:val="24"/>
        </w:rPr>
        <w:t>vendita</w:t>
      </w:r>
      <w:r w:rsidR="007E5225">
        <w:rPr>
          <w:sz w:val="24"/>
        </w:rPr>
        <w:t xml:space="preserve">, contestualmente alla stipula del </w:t>
      </w:r>
      <w:r w:rsidR="006A3E70">
        <w:rPr>
          <w:sz w:val="24"/>
        </w:rPr>
        <w:t xml:space="preserve">quale </w:t>
      </w:r>
      <w:r w:rsidR="001F6E89">
        <w:rPr>
          <w:sz w:val="24"/>
        </w:rPr>
        <w:t>la prima</w:t>
      </w:r>
      <w:r w:rsidR="006A3E70">
        <w:rPr>
          <w:sz w:val="24"/>
        </w:rPr>
        <w:t xml:space="preserve"> corrisponde</w:t>
      </w:r>
      <w:r w:rsidR="007E5225">
        <w:rPr>
          <w:sz w:val="24"/>
        </w:rPr>
        <w:t xml:space="preserve"> </w:t>
      </w:r>
      <w:r w:rsidR="006A3E70">
        <w:rPr>
          <w:sz w:val="24"/>
        </w:rPr>
        <w:t>a</w:t>
      </w:r>
      <w:r w:rsidR="001F6E89">
        <w:rPr>
          <w:sz w:val="24"/>
        </w:rPr>
        <w:t>l secondo</w:t>
      </w:r>
      <w:r w:rsidR="006A3E70">
        <w:rPr>
          <w:sz w:val="24"/>
        </w:rPr>
        <w:t xml:space="preserve"> la somma di </w:t>
      </w:r>
      <w:r w:rsidR="006528FF">
        <w:rPr>
          <w:sz w:val="24"/>
        </w:rPr>
        <w:t xml:space="preserve">30.000 </w:t>
      </w:r>
      <w:r w:rsidR="006A3E70">
        <w:rPr>
          <w:sz w:val="24"/>
        </w:rPr>
        <w:t>E</w:t>
      </w:r>
      <w:r w:rsidR="006528FF">
        <w:rPr>
          <w:sz w:val="24"/>
        </w:rPr>
        <w:t>uro a titolo di caparra confirmatoria.</w:t>
      </w:r>
    </w:p>
    <w:p w14:paraId="0484E4E1" w14:textId="1E464547" w:rsidR="006528FF" w:rsidRDefault="006528FF" w:rsidP="00D74525">
      <w:pPr>
        <w:spacing w:after="0" w:line="276" w:lineRule="auto"/>
        <w:jc w:val="both"/>
        <w:rPr>
          <w:sz w:val="24"/>
        </w:rPr>
      </w:pPr>
      <w:r>
        <w:rPr>
          <w:sz w:val="24"/>
        </w:rPr>
        <w:t xml:space="preserve">A fronte dell’inadempimento di </w:t>
      </w:r>
      <w:r w:rsidR="001062CC">
        <w:rPr>
          <w:sz w:val="24"/>
        </w:rPr>
        <w:t>Filano</w:t>
      </w:r>
      <w:r>
        <w:rPr>
          <w:sz w:val="24"/>
        </w:rPr>
        <w:t xml:space="preserve">, inottemperante ad una diffida a comparire dinanzi al notaio per la stipula del contratto definitivo, </w:t>
      </w:r>
      <w:r w:rsidR="001062CC">
        <w:rPr>
          <w:sz w:val="24"/>
        </w:rPr>
        <w:t>Mevi</w:t>
      </w:r>
      <w:r>
        <w:rPr>
          <w:sz w:val="24"/>
        </w:rPr>
        <w:t xml:space="preserve">a </w:t>
      </w:r>
      <w:r w:rsidR="001062CC">
        <w:rPr>
          <w:sz w:val="24"/>
        </w:rPr>
        <w:t>evoca</w:t>
      </w:r>
      <w:r>
        <w:rPr>
          <w:sz w:val="24"/>
        </w:rPr>
        <w:t xml:space="preserve"> in giudizio innanzi al Tribunale di Padova </w:t>
      </w:r>
      <w:r w:rsidR="001062CC">
        <w:rPr>
          <w:sz w:val="24"/>
        </w:rPr>
        <w:t>Filano</w:t>
      </w:r>
      <w:r>
        <w:rPr>
          <w:sz w:val="24"/>
        </w:rPr>
        <w:t>, chiedendo la declaratoria di risoluzione del preliminare per inadempimento d</w:t>
      </w:r>
      <w:r w:rsidR="001F6E89">
        <w:rPr>
          <w:sz w:val="24"/>
        </w:rPr>
        <w:t>el promittente venditore</w:t>
      </w:r>
      <w:r>
        <w:rPr>
          <w:sz w:val="24"/>
        </w:rPr>
        <w:t xml:space="preserve"> e la condanna d</w:t>
      </w:r>
      <w:r w:rsidR="001062CC">
        <w:rPr>
          <w:sz w:val="24"/>
        </w:rPr>
        <w:t>ello stesso</w:t>
      </w:r>
      <w:r>
        <w:rPr>
          <w:sz w:val="24"/>
        </w:rPr>
        <w:t xml:space="preserve"> al risarcimento del danno </w:t>
      </w:r>
      <w:r w:rsidR="00183C0A">
        <w:rPr>
          <w:i/>
          <w:iCs/>
          <w:sz w:val="24"/>
        </w:rPr>
        <w:t xml:space="preserve">ex </w:t>
      </w:r>
      <w:r w:rsidR="00183C0A" w:rsidRPr="00183C0A">
        <w:rPr>
          <w:sz w:val="24"/>
        </w:rPr>
        <w:t>art. 1453 c.c.</w:t>
      </w:r>
      <w:r w:rsidR="00183C0A">
        <w:rPr>
          <w:i/>
          <w:iCs/>
          <w:sz w:val="24"/>
        </w:rPr>
        <w:t xml:space="preserve"> </w:t>
      </w:r>
      <w:r w:rsidR="000E274A">
        <w:rPr>
          <w:sz w:val="24"/>
        </w:rPr>
        <w:t>in misura da determinarsi dal</w:t>
      </w:r>
      <w:r w:rsidR="006A3E70">
        <w:rPr>
          <w:sz w:val="24"/>
        </w:rPr>
        <w:t>l’adito</w:t>
      </w:r>
      <w:r w:rsidR="000E274A">
        <w:rPr>
          <w:sz w:val="24"/>
        </w:rPr>
        <w:t xml:space="preserve"> Tribunale.</w:t>
      </w:r>
    </w:p>
    <w:p w14:paraId="7AF5C1F5" w14:textId="2709BE96" w:rsidR="000E274A" w:rsidRDefault="001F6E89" w:rsidP="00D74525">
      <w:pPr>
        <w:spacing w:after="0" w:line="276" w:lineRule="auto"/>
        <w:jc w:val="both"/>
        <w:rPr>
          <w:sz w:val="24"/>
        </w:rPr>
      </w:pPr>
      <w:r>
        <w:rPr>
          <w:sz w:val="24"/>
        </w:rPr>
        <w:t>In seguito</w:t>
      </w:r>
      <w:r w:rsidR="006A3E70">
        <w:rPr>
          <w:sz w:val="24"/>
        </w:rPr>
        <w:t>, a</w:t>
      </w:r>
      <w:r w:rsidR="001062CC">
        <w:rPr>
          <w:sz w:val="24"/>
        </w:rPr>
        <w:t xml:space="preserve">vendo meglio ponderato la difficoltà di provare l’entità del danno lamentato, </w:t>
      </w:r>
      <w:r w:rsidR="00123A0F">
        <w:rPr>
          <w:sz w:val="24"/>
        </w:rPr>
        <w:t>in udienza di precisazione delle conclusioni</w:t>
      </w:r>
      <w:r w:rsidR="000E274A">
        <w:rPr>
          <w:sz w:val="24"/>
        </w:rPr>
        <w:t xml:space="preserve">, </w:t>
      </w:r>
      <w:r w:rsidR="001062CC">
        <w:rPr>
          <w:sz w:val="24"/>
        </w:rPr>
        <w:t>Mevi</w:t>
      </w:r>
      <w:r w:rsidR="000E274A">
        <w:rPr>
          <w:sz w:val="24"/>
        </w:rPr>
        <w:t>a sostituisce l</w:t>
      </w:r>
      <w:r w:rsidR="00183C0A">
        <w:rPr>
          <w:sz w:val="24"/>
        </w:rPr>
        <w:t>e</w:t>
      </w:r>
      <w:r w:rsidR="000E274A">
        <w:rPr>
          <w:sz w:val="24"/>
        </w:rPr>
        <w:t xml:space="preserve"> domand</w:t>
      </w:r>
      <w:r w:rsidR="00183C0A">
        <w:rPr>
          <w:sz w:val="24"/>
        </w:rPr>
        <w:t>e</w:t>
      </w:r>
      <w:r w:rsidR="000E274A">
        <w:rPr>
          <w:sz w:val="24"/>
        </w:rPr>
        <w:t xml:space="preserve"> </w:t>
      </w:r>
      <w:r w:rsidR="001062CC">
        <w:rPr>
          <w:sz w:val="24"/>
        </w:rPr>
        <w:t xml:space="preserve">originariamente formulate </w:t>
      </w:r>
      <w:r>
        <w:rPr>
          <w:sz w:val="24"/>
        </w:rPr>
        <w:t xml:space="preserve">nell’atto di citazione </w:t>
      </w:r>
      <w:r w:rsidR="001062CC">
        <w:rPr>
          <w:sz w:val="24"/>
        </w:rPr>
        <w:t>con</w:t>
      </w:r>
      <w:r w:rsidR="000E274A">
        <w:rPr>
          <w:sz w:val="24"/>
        </w:rPr>
        <w:t xml:space="preserve"> l</w:t>
      </w:r>
      <w:r>
        <w:rPr>
          <w:sz w:val="24"/>
        </w:rPr>
        <w:t>a</w:t>
      </w:r>
      <w:r w:rsidR="000E274A">
        <w:rPr>
          <w:sz w:val="24"/>
        </w:rPr>
        <w:t xml:space="preserve"> domand</w:t>
      </w:r>
      <w:r>
        <w:rPr>
          <w:sz w:val="24"/>
        </w:rPr>
        <w:t>a</w:t>
      </w:r>
      <w:r w:rsidR="000E274A">
        <w:rPr>
          <w:sz w:val="24"/>
        </w:rPr>
        <w:t xml:space="preserve"> di recesso dal contratto </w:t>
      </w:r>
      <w:r w:rsidR="0031654F">
        <w:rPr>
          <w:sz w:val="24"/>
        </w:rPr>
        <w:t>e</w:t>
      </w:r>
      <w:r w:rsidR="000E274A">
        <w:rPr>
          <w:sz w:val="24"/>
        </w:rPr>
        <w:t xml:space="preserve"> </w:t>
      </w:r>
      <w:r w:rsidR="00CF118F">
        <w:rPr>
          <w:sz w:val="24"/>
        </w:rPr>
        <w:t xml:space="preserve">di condanna di Filano al </w:t>
      </w:r>
      <w:r w:rsidR="00231BA7">
        <w:rPr>
          <w:sz w:val="24"/>
        </w:rPr>
        <w:t>pagamento del doppio</w:t>
      </w:r>
      <w:r w:rsidR="000E274A">
        <w:rPr>
          <w:sz w:val="24"/>
        </w:rPr>
        <w:t xml:space="preserve"> della caparra</w:t>
      </w:r>
      <w:r w:rsidRPr="001F6E89">
        <w:rPr>
          <w:sz w:val="24"/>
        </w:rPr>
        <w:t xml:space="preserve"> </w:t>
      </w:r>
      <w:r>
        <w:rPr>
          <w:sz w:val="24"/>
        </w:rPr>
        <w:t>ai sensi dell’art. 1385, c</w:t>
      </w:r>
      <w:r w:rsidR="00D40728">
        <w:rPr>
          <w:sz w:val="24"/>
        </w:rPr>
        <w:t>o</w:t>
      </w:r>
      <w:r>
        <w:rPr>
          <w:sz w:val="24"/>
        </w:rPr>
        <w:t>. 2, c.c.</w:t>
      </w:r>
    </w:p>
    <w:p w14:paraId="66D89170" w14:textId="044B6E41" w:rsidR="0031654F" w:rsidRDefault="001062CC" w:rsidP="00D74525">
      <w:pPr>
        <w:spacing w:after="0" w:line="276" w:lineRule="auto"/>
        <w:jc w:val="both"/>
        <w:rPr>
          <w:sz w:val="24"/>
        </w:rPr>
      </w:pPr>
      <w:r>
        <w:rPr>
          <w:sz w:val="24"/>
        </w:rPr>
        <w:t>Filano</w:t>
      </w:r>
      <w:r w:rsidR="000E274A">
        <w:rPr>
          <w:sz w:val="24"/>
        </w:rPr>
        <w:t xml:space="preserve"> </w:t>
      </w:r>
      <w:r w:rsidR="0031654F">
        <w:rPr>
          <w:sz w:val="24"/>
        </w:rPr>
        <w:t>eccepisce l</w:t>
      </w:r>
      <w:r w:rsidR="001F6E89">
        <w:rPr>
          <w:sz w:val="24"/>
        </w:rPr>
        <w:t>’inammissibilità</w:t>
      </w:r>
      <w:r w:rsidR="0031654F">
        <w:rPr>
          <w:sz w:val="24"/>
        </w:rPr>
        <w:t xml:space="preserve"> di tali domande, atteso il loro </w:t>
      </w:r>
      <w:r w:rsidR="00E75AF9">
        <w:rPr>
          <w:sz w:val="24"/>
        </w:rPr>
        <w:t xml:space="preserve">innegabile </w:t>
      </w:r>
      <w:r w:rsidR="0031654F">
        <w:rPr>
          <w:sz w:val="24"/>
        </w:rPr>
        <w:t>carattere di novità.</w:t>
      </w:r>
    </w:p>
    <w:p w14:paraId="7FA254A5" w14:textId="1A7D86DA" w:rsidR="00D40728" w:rsidRDefault="001062CC" w:rsidP="00D74525">
      <w:pPr>
        <w:spacing w:after="0" w:line="276" w:lineRule="auto"/>
        <w:jc w:val="both"/>
        <w:rPr>
          <w:sz w:val="24"/>
        </w:rPr>
      </w:pPr>
      <w:r>
        <w:rPr>
          <w:sz w:val="24"/>
        </w:rPr>
        <w:t>Mevia</w:t>
      </w:r>
      <w:r w:rsidR="0031654F">
        <w:rPr>
          <w:sz w:val="24"/>
        </w:rPr>
        <w:t xml:space="preserve"> ribatte che tale modifica deve ritenersi consentita, </w:t>
      </w:r>
      <w:r w:rsidR="001F6E89">
        <w:rPr>
          <w:sz w:val="24"/>
        </w:rPr>
        <w:t>in quanto le domande “modificate”</w:t>
      </w:r>
      <w:r w:rsidR="00D40728">
        <w:rPr>
          <w:sz w:val="24"/>
        </w:rPr>
        <w:t xml:space="preserve"> risultano pur sempre connesse alla vicenda sostanziale dedotta in giudizio</w:t>
      </w:r>
      <w:r w:rsidR="001F6E89">
        <w:rPr>
          <w:sz w:val="24"/>
        </w:rPr>
        <w:t xml:space="preserve"> </w:t>
      </w:r>
      <w:r w:rsidR="00D40728">
        <w:rPr>
          <w:sz w:val="24"/>
        </w:rPr>
        <w:t>con l’atto introduttivo e si pongono in rapporto di alternatività rispetto a quelle iniziali.</w:t>
      </w:r>
    </w:p>
    <w:p w14:paraId="5B066702" w14:textId="77777777" w:rsidR="000E51A7" w:rsidRDefault="0031654F" w:rsidP="00D74525">
      <w:pPr>
        <w:spacing w:after="0" w:line="276" w:lineRule="auto"/>
        <w:jc w:val="both"/>
        <w:rPr>
          <w:sz w:val="24"/>
        </w:rPr>
      </w:pPr>
      <w:r>
        <w:rPr>
          <w:i/>
          <w:iCs/>
          <w:sz w:val="24"/>
        </w:rPr>
        <w:t>Quid iuris</w:t>
      </w:r>
      <w:r>
        <w:rPr>
          <w:sz w:val="24"/>
        </w:rPr>
        <w:t xml:space="preserve">? </w:t>
      </w:r>
    </w:p>
    <w:p w14:paraId="36E3CD52" w14:textId="558C6E2C" w:rsidR="000E274A" w:rsidRDefault="0031654F" w:rsidP="00D74525">
      <w:pPr>
        <w:spacing w:after="0" w:line="276" w:lineRule="auto"/>
        <w:jc w:val="both"/>
        <w:rPr>
          <w:sz w:val="24"/>
        </w:rPr>
      </w:pPr>
      <w:r>
        <w:rPr>
          <w:sz w:val="24"/>
        </w:rPr>
        <w:t xml:space="preserve">La risposta cambierebbe ove tale modifica fosse </w:t>
      </w:r>
      <w:r w:rsidR="00123A0F">
        <w:rPr>
          <w:sz w:val="24"/>
        </w:rPr>
        <w:t xml:space="preserve">stata </w:t>
      </w:r>
      <w:r>
        <w:rPr>
          <w:sz w:val="24"/>
        </w:rPr>
        <w:t xml:space="preserve">operata </w:t>
      </w:r>
      <w:r w:rsidR="00D40728">
        <w:rPr>
          <w:sz w:val="24"/>
        </w:rPr>
        <w:t xml:space="preserve">da Mevia </w:t>
      </w:r>
      <w:r>
        <w:rPr>
          <w:sz w:val="24"/>
        </w:rPr>
        <w:t xml:space="preserve">in </w:t>
      </w:r>
      <w:r w:rsidR="00123A0F">
        <w:rPr>
          <w:sz w:val="24"/>
        </w:rPr>
        <w:t xml:space="preserve">sede di 1^ memoria </w:t>
      </w:r>
      <w:r w:rsidR="00123A0F">
        <w:rPr>
          <w:i/>
          <w:iCs/>
          <w:sz w:val="24"/>
        </w:rPr>
        <w:t xml:space="preserve">ex </w:t>
      </w:r>
      <w:r w:rsidR="00123A0F">
        <w:rPr>
          <w:sz w:val="24"/>
        </w:rPr>
        <w:t xml:space="preserve">art. 183, co. 6, c.p.c., ovvero in </w:t>
      </w:r>
      <w:r>
        <w:rPr>
          <w:sz w:val="24"/>
        </w:rPr>
        <w:t>grado di appello</w:t>
      </w:r>
      <w:r w:rsidR="00183C0A">
        <w:rPr>
          <w:sz w:val="24"/>
        </w:rPr>
        <w:t xml:space="preserve"> </w:t>
      </w:r>
      <w:r w:rsidR="00E75AF9">
        <w:rPr>
          <w:sz w:val="24"/>
        </w:rPr>
        <w:t xml:space="preserve">(in particolare, </w:t>
      </w:r>
      <w:r w:rsidR="00123A0F">
        <w:rPr>
          <w:sz w:val="24"/>
        </w:rPr>
        <w:t xml:space="preserve">in quest’ultimo </w:t>
      </w:r>
      <w:r w:rsidR="00E75AF9">
        <w:rPr>
          <w:sz w:val="24"/>
        </w:rPr>
        <w:t>caso</w:t>
      </w:r>
      <w:r w:rsidR="00123A0F">
        <w:rPr>
          <w:sz w:val="24"/>
        </w:rPr>
        <w:t xml:space="preserve">, nell’ipotesi </w:t>
      </w:r>
      <w:r w:rsidR="00E75AF9">
        <w:rPr>
          <w:sz w:val="24"/>
        </w:rPr>
        <w:t xml:space="preserve">in cui </w:t>
      </w:r>
      <w:r w:rsidR="00183C0A">
        <w:rPr>
          <w:sz w:val="24"/>
        </w:rPr>
        <w:t xml:space="preserve">il </w:t>
      </w:r>
      <w:r w:rsidR="00E75AF9">
        <w:rPr>
          <w:sz w:val="24"/>
        </w:rPr>
        <w:t>Tribunale</w:t>
      </w:r>
      <w:r w:rsidR="00183C0A">
        <w:rPr>
          <w:sz w:val="24"/>
        </w:rPr>
        <w:t xml:space="preserve"> a</w:t>
      </w:r>
      <w:r w:rsidR="00D40728">
        <w:rPr>
          <w:sz w:val="24"/>
        </w:rPr>
        <w:t>vesse a</w:t>
      </w:r>
      <w:r w:rsidR="00183C0A">
        <w:rPr>
          <w:sz w:val="24"/>
        </w:rPr>
        <w:t>cco</w:t>
      </w:r>
      <w:r w:rsidR="00D40728">
        <w:rPr>
          <w:sz w:val="24"/>
        </w:rPr>
        <w:t>lto</w:t>
      </w:r>
      <w:r w:rsidR="00183C0A">
        <w:rPr>
          <w:sz w:val="24"/>
        </w:rPr>
        <w:t xml:space="preserve"> la domanda di risoluzione, </w:t>
      </w:r>
      <w:r w:rsidR="00E75AF9">
        <w:rPr>
          <w:sz w:val="24"/>
        </w:rPr>
        <w:t xml:space="preserve">ma </w:t>
      </w:r>
      <w:r w:rsidR="00183C0A">
        <w:rPr>
          <w:sz w:val="24"/>
        </w:rPr>
        <w:t>rigett</w:t>
      </w:r>
      <w:r w:rsidR="00E75AF9">
        <w:rPr>
          <w:sz w:val="24"/>
        </w:rPr>
        <w:t>at</w:t>
      </w:r>
      <w:r w:rsidR="00183C0A">
        <w:rPr>
          <w:sz w:val="24"/>
        </w:rPr>
        <w:t>o quella di risarcimento per mancata prova del danno</w:t>
      </w:r>
      <w:r w:rsidR="00E75AF9">
        <w:rPr>
          <w:sz w:val="24"/>
        </w:rPr>
        <w:t>)</w:t>
      </w:r>
      <w:r>
        <w:rPr>
          <w:sz w:val="24"/>
        </w:rPr>
        <w:t>?</w:t>
      </w:r>
      <w:r w:rsidR="000E274A">
        <w:rPr>
          <w:sz w:val="24"/>
        </w:rPr>
        <w:t xml:space="preserve">  </w:t>
      </w:r>
    </w:p>
    <w:p w14:paraId="2C4CBE5A" w14:textId="1FAAA546" w:rsidR="00D40728" w:rsidRDefault="00D40728" w:rsidP="00D74525">
      <w:pPr>
        <w:spacing w:after="0" w:line="276" w:lineRule="auto"/>
        <w:jc w:val="both"/>
        <w:rPr>
          <w:sz w:val="24"/>
        </w:rPr>
      </w:pPr>
    </w:p>
    <w:p w14:paraId="70933755" w14:textId="77777777" w:rsidR="000E51A7" w:rsidRDefault="000E51A7" w:rsidP="00D74525">
      <w:pPr>
        <w:spacing w:after="0" w:line="276" w:lineRule="auto"/>
        <w:jc w:val="both"/>
        <w:rPr>
          <w:sz w:val="24"/>
        </w:rPr>
      </w:pPr>
    </w:p>
    <w:p w14:paraId="332FEA2E" w14:textId="18B5DBDE" w:rsidR="00D40728" w:rsidRPr="000E274A" w:rsidRDefault="00D40728" w:rsidP="00D74525">
      <w:pPr>
        <w:spacing w:after="0" w:line="276" w:lineRule="auto"/>
        <w:jc w:val="both"/>
        <w:rPr>
          <w:sz w:val="24"/>
        </w:rPr>
      </w:pPr>
      <w:r>
        <w:rPr>
          <w:sz w:val="24"/>
        </w:rPr>
        <w:t>C</w:t>
      </w:r>
      <w:r w:rsidR="00E75AF9">
        <w:rPr>
          <w:sz w:val="24"/>
        </w:rPr>
        <w:t>ASO</w:t>
      </w:r>
      <w:r>
        <w:rPr>
          <w:sz w:val="24"/>
        </w:rPr>
        <w:t xml:space="preserve"> 2</w:t>
      </w:r>
    </w:p>
    <w:p w14:paraId="79912C2E" w14:textId="5D4002B8" w:rsidR="00D74525" w:rsidRDefault="00F72E55" w:rsidP="00D74525">
      <w:pPr>
        <w:spacing w:after="0" w:line="276" w:lineRule="auto"/>
        <w:jc w:val="both"/>
        <w:rPr>
          <w:sz w:val="24"/>
        </w:rPr>
      </w:pPr>
      <w:r w:rsidRPr="00D74525">
        <w:rPr>
          <w:sz w:val="24"/>
        </w:rPr>
        <w:t xml:space="preserve">A seguito dell’inadempimento di un preliminare di compravendita immobiliare, </w:t>
      </w:r>
      <w:r w:rsidRPr="00E75AF9">
        <w:rPr>
          <w:sz w:val="24"/>
        </w:rPr>
        <w:t xml:space="preserve">in esecuzione del quale aveva già corrisposto 400.000 Euro, il promissario acquirente Tizio agisce in giudizio nei confronti del promittente alienante Caio, per l’esecuzione in forma specifica dell’obbligo di concludere il contratto definitivo </w:t>
      </w:r>
      <w:r w:rsidRPr="00E75AF9">
        <w:rPr>
          <w:i/>
          <w:sz w:val="24"/>
        </w:rPr>
        <w:t>ex</w:t>
      </w:r>
      <w:r w:rsidRPr="00E75AF9">
        <w:rPr>
          <w:sz w:val="24"/>
        </w:rPr>
        <w:t xml:space="preserve"> art. 2932 c.c. Ottenuta vittoria in primo grado, a fronte dell’impugnazione del promittente venditore, Tizio decide di abbandonare la domanda di adempimento (poiché il prezzo di vendita originariamente pattuito è divenuto assai più alto del valore di mercato del bene), sostituendola con la domanda di risoluzione, in virtù della facoltà riconosciutagli dall’art. 1453, c. 2, c.c. Tizio chiede inoltre la restituzione del </w:t>
      </w:r>
      <w:r w:rsidRPr="00E75AF9">
        <w:rPr>
          <w:i/>
          <w:sz w:val="24"/>
        </w:rPr>
        <w:t>quantum</w:t>
      </w:r>
      <w:r w:rsidRPr="00E75AF9">
        <w:rPr>
          <w:sz w:val="24"/>
        </w:rPr>
        <w:t xml:space="preserve"> già versato, nonché il risarcimento dei danni sofferti a causa dell’inadempimento della controparte. Caio eccepisce la novità di queste due ultime pretese aggiuntive</w:t>
      </w:r>
      <w:r w:rsidRPr="00D74525">
        <w:rPr>
          <w:sz w:val="24"/>
        </w:rPr>
        <w:t xml:space="preserve">. </w:t>
      </w:r>
      <w:r w:rsidRPr="00D74525">
        <w:rPr>
          <w:i/>
          <w:sz w:val="24"/>
        </w:rPr>
        <w:t>Quid iuris</w:t>
      </w:r>
      <w:r w:rsidRPr="00D74525">
        <w:rPr>
          <w:sz w:val="24"/>
        </w:rPr>
        <w:t>?</w:t>
      </w:r>
    </w:p>
    <w:p w14:paraId="5158E209" w14:textId="77777777" w:rsidR="00D74525" w:rsidRPr="00D74525" w:rsidRDefault="00D74525" w:rsidP="00D74525">
      <w:pPr>
        <w:spacing w:after="0" w:line="276" w:lineRule="auto"/>
        <w:jc w:val="both"/>
        <w:rPr>
          <w:sz w:val="24"/>
        </w:rPr>
      </w:pPr>
    </w:p>
    <w:p w14:paraId="524CA2EA" w14:textId="77777777" w:rsidR="00D74525" w:rsidRPr="00D74525" w:rsidRDefault="00D74525">
      <w:pPr>
        <w:spacing w:after="0" w:line="276" w:lineRule="auto"/>
        <w:jc w:val="both"/>
        <w:rPr>
          <w:sz w:val="24"/>
        </w:rPr>
      </w:pPr>
    </w:p>
    <w:sectPr w:rsidR="00D74525" w:rsidRPr="00D74525" w:rsidSect="00001D8C">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73133" w14:textId="77777777" w:rsidR="007944A0" w:rsidRDefault="007944A0" w:rsidP="00823D3B">
      <w:pPr>
        <w:spacing w:after="0" w:line="240" w:lineRule="auto"/>
      </w:pPr>
      <w:r>
        <w:separator/>
      </w:r>
    </w:p>
  </w:endnote>
  <w:endnote w:type="continuationSeparator" w:id="0">
    <w:p w14:paraId="36DCE48D" w14:textId="77777777" w:rsidR="007944A0" w:rsidRDefault="007944A0" w:rsidP="0082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BC4DB" w14:textId="77777777" w:rsidR="007944A0" w:rsidRDefault="007944A0" w:rsidP="00823D3B">
      <w:pPr>
        <w:spacing w:after="0" w:line="240" w:lineRule="auto"/>
      </w:pPr>
      <w:r>
        <w:separator/>
      </w:r>
    </w:p>
  </w:footnote>
  <w:footnote w:type="continuationSeparator" w:id="0">
    <w:p w14:paraId="34FE4536" w14:textId="77777777" w:rsidR="007944A0" w:rsidRDefault="007944A0" w:rsidP="00823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4601D"/>
    <w:multiLevelType w:val="hybridMultilevel"/>
    <w:tmpl w:val="57002A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E6D1BD3"/>
    <w:multiLevelType w:val="hybridMultilevel"/>
    <w:tmpl w:val="5D54E6A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D3B"/>
    <w:rsid w:val="00001D8C"/>
    <w:rsid w:val="00025082"/>
    <w:rsid w:val="000E274A"/>
    <w:rsid w:val="000E51A7"/>
    <w:rsid w:val="000F3F8D"/>
    <w:rsid w:val="001062CC"/>
    <w:rsid w:val="00123A0F"/>
    <w:rsid w:val="00183C0A"/>
    <w:rsid w:val="001D6D3B"/>
    <w:rsid w:val="001F6E89"/>
    <w:rsid w:val="00231BA7"/>
    <w:rsid w:val="0026047F"/>
    <w:rsid w:val="00284838"/>
    <w:rsid w:val="002F13E4"/>
    <w:rsid w:val="0031053B"/>
    <w:rsid w:val="0031654F"/>
    <w:rsid w:val="003A7198"/>
    <w:rsid w:val="00401DE5"/>
    <w:rsid w:val="00426BFA"/>
    <w:rsid w:val="004515CE"/>
    <w:rsid w:val="004B2FAC"/>
    <w:rsid w:val="004C01D2"/>
    <w:rsid w:val="004C7601"/>
    <w:rsid w:val="005B4F7A"/>
    <w:rsid w:val="00650C3F"/>
    <w:rsid w:val="00651A33"/>
    <w:rsid w:val="006528FF"/>
    <w:rsid w:val="00661B8B"/>
    <w:rsid w:val="00663476"/>
    <w:rsid w:val="006A3E70"/>
    <w:rsid w:val="007735B1"/>
    <w:rsid w:val="007944A0"/>
    <w:rsid w:val="007A7B0B"/>
    <w:rsid w:val="007E5225"/>
    <w:rsid w:val="00823D3B"/>
    <w:rsid w:val="008741DF"/>
    <w:rsid w:val="00897A3F"/>
    <w:rsid w:val="008A03E4"/>
    <w:rsid w:val="009418DB"/>
    <w:rsid w:val="00945C26"/>
    <w:rsid w:val="009E2A7E"/>
    <w:rsid w:val="00A47C47"/>
    <w:rsid w:val="00AD08EA"/>
    <w:rsid w:val="00B70717"/>
    <w:rsid w:val="00BB0715"/>
    <w:rsid w:val="00BE2EA1"/>
    <w:rsid w:val="00C1502E"/>
    <w:rsid w:val="00CF118F"/>
    <w:rsid w:val="00D229CF"/>
    <w:rsid w:val="00D3793B"/>
    <w:rsid w:val="00D40728"/>
    <w:rsid w:val="00D74525"/>
    <w:rsid w:val="00DB6392"/>
    <w:rsid w:val="00E75AF9"/>
    <w:rsid w:val="00EB67B4"/>
    <w:rsid w:val="00F448D7"/>
    <w:rsid w:val="00F72E55"/>
    <w:rsid w:val="00FF0A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E3BE5"/>
  <w15:chartTrackingRefBased/>
  <w15:docId w15:val="{8F6C1C99-BD4D-4A05-8BA6-D4D5BF2F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35B1"/>
    <w:pPr>
      <w:spacing w:after="160" w:line="259" w:lineRule="auto"/>
    </w:pPr>
    <w:rPr>
      <w:sz w:val="22"/>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23D3B"/>
    <w:pPr>
      <w:ind w:left="720"/>
      <w:contextualSpacing/>
    </w:pPr>
  </w:style>
  <w:style w:type="character" w:customStyle="1" w:styleId="autorita-documento">
    <w:name w:val="autorita-documento"/>
    <w:basedOn w:val="Carpredefinitoparagrafo"/>
    <w:rsid w:val="00823D3B"/>
    <w:rPr>
      <w:sz w:val="29"/>
      <w:szCs w:val="29"/>
    </w:rPr>
  </w:style>
  <w:style w:type="character" w:customStyle="1" w:styleId="alink">
    <w:name w:val="a_link"/>
    <w:basedOn w:val="Carpredefinitoparagrafo"/>
    <w:rsid w:val="00823D3B"/>
    <w:rPr>
      <w:color w:val="000000"/>
    </w:rPr>
  </w:style>
  <w:style w:type="paragraph" w:styleId="Testonotaapidipagina">
    <w:name w:val="footnote text"/>
    <w:basedOn w:val="Normale"/>
    <w:link w:val="TestonotaapidipaginaCarattere"/>
    <w:uiPriority w:val="99"/>
    <w:semiHidden/>
    <w:unhideWhenUsed/>
    <w:rsid w:val="00823D3B"/>
    <w:pPr>
      <w:spacing w:after="0" w:line="360" w:lineRule="atLeast"/>
    </w:pPr>
    <w:rPr>
      <w:rFonts w:ascii="Arial" w:eastAsia="Arial" w:hAnsi="Arial"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823D3B"/>
    <w:rPr>
      <w:rFonts w:ascii="Arial" w:eastAsia="Arial" w:hAnsi="Arial" w:cs="Arial"/>
      <w:sz w:val="20"/>
      <w:szCs w:val="20"/>
      <w:lang w:eastAsia="it-IT"/>
    </w:rPr>
  </w:style>
  <w:style w:type="character" w:styleId="Rimandonotaapidipagina">
    <w:name w:val="footnote reference"/>
    <w:basedOn w:val="Carpredefinitoparagrafo"/>
    <w:uiPriority w:val="99"/>
    <w:semiHidden/>
    <w:unhideWhenUsed/>
    <w:rsid w:val="00823D3B"/>
    <w:rPr>
      <w:vertAlign w:val="superscript"/>
    </w:rPr>
  </w:style>
  <w:style w:type="paragraph" w:customStyle="1" w:styleId="Stile14ptGrassettoCentrato">
    <w:name w:val="Stile 14 pt Grassetto Centrato"/>
    <w:basedOn w:val="Normale"/>
    <w:rsid w:val="004B2FAC"/>
    <w:pPr>
      <w:spacing w:after="0" w:line="240" w:lineRule="auto"/>
      <w:jc w:val="center"/>
    </w:pPr>
    <w:rPr>
      <w:rFonts w:ascii="Garamond" w:eastAsia="Times New Roman" w:hAnsi="Garamond"/>
      <w:b/>
      <w:bCs/>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422</Words>
  <Characters>2410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2827</CharactersWithSpaces>
  <SharedDoc>false</SharedDoc>
  <HLinks>
    <vt:vector size="24" baseType="variant">
      <vt:variant>
        <vt:i4>5439521</vt:i4>
      </vt:variant>
      <vt:variant>
        <vt:i4>9</vt:i4>
      </vt:variant>
      <vt:variant>
        <vt:i4>0</vt:i4>
      </vt:variant>
      <vt:variant>
        <vt:i4>5</vt:i4>
      </vt:variant>
      <vt:variant>
        <vt:lpwstr/>
      </vt:variant>
      <vt:variant>
        <vt:lpwstr>/ricerca/fonti_documento?idDatabank=10&amp;idDocMaster=3948143&amp;idUnitaDoc=20114049&amp;nVigUnitaDoc=1&amp;docIdx=1&amp;isCorrelazioniSearch=true</vt:lpwstr>
      </vt:variant>
      <vt:variant>
        <vt:i4>5898279</vt:i4>
      </vt:variant>
      <vt:variant>
        <vt:i4>6</vt:i4>
      </vt:variant>
      <vt:variant>
        <vt:i4>0</vt:i4>
      </vt:variant>
      <vt:variant>
        <vt:i4>5</vt:i4>
      </vt:variant>
      <vt:variant>
        <vt:lpwstr/>
      </vt:variant>
      <vt:variant>
        <vt:lpwstr>/ricerca/fonti_documento?idDatabank=10&amp;idDocMaster=3948143&amp;idUnitaDoc=20113757&amp;nVigUnitaDoc=1&amp;docIdx=1&amp;isCorrelazioniSearch=true</vt:lpwstr>
      </vt:variant>
      <vt:variant>
        <vt:i4>5963815</vt:i4>
      </vt:variant>
      <vt:variant>
        <vt:i4>3</vt:i4>
      </vt:variant>
      <vt:variant>
        <vt:i4>0</vt:i4>
      </vt:variant>
      <vt:variant>
        <vt:i4>5</vt:i4>
      </vt:variant>
      <vt:variant>
        <vt:lpwstr/>
      </vt:variant>
      <vt:variant>
        <vt:lpwstr>/ricerca/fonti_documento?idDatabank=10&amp;idDocMaster=3948143&amp;idUnitaDoc=20113756&amp;nVigUnitaDoc=1&amp;docIdx=1&amp;isCorrelazioniSearch=true</vt:lpwstr>
      </vt:variant>
      <vt:variant>
        <vt:i4>6225965</vt:i4>
      </vt:variant>
      <vt:variant>
        <vt:i4>0</vt:i4>
      </vt:variant>
      <vt:variant>
        <vt:i4>0</vt:i4>
      </vt:variant>
      <vt:variant>
        <vt:i4>5</vt:i4>
      </vt:variant>
      <vt:variant>
        <vt:lpwstr/>
      </vt:variant>
      <vt:variant>
        <vt:lpwstr>/ricerca/fonti_documento?idDatabank=10&amp;idDocMaster=3948143&amp;idUnitaDoc=20114085&amp;nVigUnitaDoc=1&amp;docIdx=1&amp;isCorrelazioniSearch=true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dc:creator>
  <cp:keywords/>
  <cp:lastModifiedBy>Massimo Vendraminelli</cp:lastModifiedBy>
  <cp:revision>4</cp:revision>
  <cp:lastPrinted>2020-06-25T07:52:00Z</cp:lastPrinted>
  <dcterms:created xsi:type="dcterms:W3CDTF">2020-06-26T09:56:00Z</dcterms:created>
  <dcterms:modified xsi:type="dcterms:W3CDTF">2020-06-26T14:51:00Z</dcterms:modified>
</cp:coreProperties>
</file>