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88B55" w14:textId="77777777" w:rsidR="008F666C" w:rsidRPr="008F666C" w:rsidRDefault="008F666C" w:rsidP="008F666C">
      <w:pPr>
        <w:jc w:val="center"/>
        <w:rPr>
          <w:rFonts w:ascii="Times New Roman" w:hAnsi="Times New Roman" w:cs="Times New Roman"/>
          <w:b/>
          <w:bCs/>
          <w:sz w:val="24"/>
          <w:szCs w:val="24"/>
        </w:rPr>
      </w:pPr>
      <w:r w:rsidRPr="008F666C">
        <w:rPr>
          <w:rFonts w:ascii="Times New Roman" w:hAnsi="Times New Roman" w:cs="Times New Roman"/>
          <w:b/>
          <w:bCs/>
          <w:sz w:val="24"/>
          <w:szCs w:val="24"/>
        </w:rPr>
        <w:t>ORDINE AVVOCATI DI PADOVA</w:t>
      </w:r>
    </w:p>
    <w:p w14:paraId="6A86096D" w14:textId="04D16CA2" w:rsidR="008F666C" w:rsidRDefault="008F666C" w:rsidP="008F666C">
      <w:pPr>
        <w:jc w:val="center"/>
        <w:rPr>
          <w:rFonts w:ascii="Times New Roman" w:hAnsi="Times New Roman" w:cs="Times New Roman"/>
          <w:b/>
          <w:bCs/>
          <w:sz w:val="24"/>
          <w:szCs w:val="24"/>
        </w:rPr>
      </w:pPr>
      <w:r w:rsidRPr="008F666C">
        <w:rPr>
          <w:rFonts w:ascii="Times New Roman" w:hAnsi="Times New Roman" w:cs="Times New Roman"/>
          <w:b/>
          <w:bCs/>
          <w:sz w:val="24"/>
          <w:szCs w:val="24"/>
        </w:rPr>
        <w:t xml:space="preserve">LEZIONE </w:t>
      </w:r>
      <w:r w:rsidR="000E102F">
        <w:rPr>
          <w:rFonts w:ascii="Times New Roman" w:hAnsi="Times New Roman" w:cs="Times New Roman"/>
          <w:b/>
          <w:bCs/>
          <w:sz w:val="24"/>
          <w:szCs w:val="24"/>
        </w:rPr>
        <w:t>27SETTEMBRE</w:t>
      </w:r>
      <w:r w:rsidRPr="008F666C">
        <w:rPr>
          <w:rFonts w:ascii="Times New Roman" w:hAnsi="Times New Roman" w:cs="Times New Roman"/>
          <w:b/>
          <w:bCs/>
          <w:sz w:val="24"/>
          <w:szCs w:val="24"/>
        </w:rPr>
        <w:t xml:space="preserve"> 20</w:t>
      </w:r>
      <w:r w:rsidR="000E102F">
        <w:rPr>
          <w:rFonts w:ascii="Times New Roman" w:hAnsi="Times New Roman" w:cs="Times New Roman"/>
          <w:b/>
          <w:bCs/>
          <w:sz w:val="24"/>
          <w:szCs w:val="24"/>
        </w:rPr>
        <w:t>21</w:t>
      </w:r>
    </w:p>
    <w:p w14:paraId="33249ABA" w14:textId="77777777" w:rsidR="008F666C" w:rsidRDefault="008F666C" w:rsidP="008F666C">
      <w:pPr>
        <w:rPr>
          <w:rFonts w:ascii="Times New Roman" w:hAnsi="Times New Roman" w:cs="Times New Roman"/>
          <w:b/>
          <w:bCs/>
          <w:sz w:val="24"/>
          <w:szCs w:val="24"/>
        </w:rPr>
      </w:pPr>
    </w:p>
    <w:p w14:paraId="1E509C47" w14:textId="77777777" w:rsidR="008F666C" w:rsidRDefault="008F666C" w:rsidP="008F666C">
      <w:pPr>
        <w:rPr>
          <w:rFonts w:ascii="Times New Roman" w:hAnsi="Times New Roman" w:cs="Times New Roman"/>
          <w:b/>
          <w:bCs/>
          <w:sz w:val="24"/>
          <w:szCs w:val="24"/>
        </w:rPr>
      </w:pPr>
      <w:r>
        <w:rPr>
          <w:rFonts w:ascii="Times New Roman" w:hAnsi="Times New Roman" w:cs="Times New Roman"/>
          <w:b/>
          <w:bCs/>
          <w:sz w:val="24"/>
          <w:szCs w:val="24"/>
        </w:rPr>
        <w:t>DIRITTO INTERNAZIONALE PUBBLICO</w:t>
      </w:r>
    </w:p>
    <w:p w14:paraId="158806F1" w14:textId="77777777" w:rsidR="008F666C" w:rsidRDefault="007D2EA7" w:rsidP="005044FA">
      <w:pPr>
        <w:jc w:val="both"/>
        <w:rPr>
          <w:rFonts w:ascii="Times New Roman" w:hAnsi="Times New Roman" w:cs="Times New Roman"/>
          <w:b/>
          <w:bCs/>
          <w:sz w:val="24"/>
          <w:szCs w:val="24"/>
        </w:rPr>
      </w:pPr>
      <w:r>
        <w:rPr>
          <w:rFonts w:ascii="Times New Roman" w:hAnsi="Times New Roman" w:cs="Times New Roman"/>
          <w:b/>
          <w:bCs/>
          <w:sz w:val="24"/>
          <w:szCs w:val="24"/>
        </w:rPr>
        <w:t>Caratteri di diritto internazionale classico</w:t>
      </w:r>
    </w:p>
    <w:p w14:paraId="1E7F1967" w14:textId="77777777" w:rsidR="007D2EA7" w:rsidRDefault="007D2EA7" w:rsidP="005044FA">
      <w:pPr>
        <w:jc w:val="both"/>
        <w:rPr>
          <w:rFonts w:ascii="Times New Roman" w:hAnsi="Times New Roman" w:cs="Times New Roman"/>
          <w:b/>
          <w:bCs/>
          <w:sz w:val="24"/>
          <w:szCs w:val="24"/>
        </w:rPr>
      </w:pPr>
      <w:r>
        <w:rPr>
          <w:rFonts w:ascii="Times New Roman" w:hAnsi="Times New Roman" w:cs="Times New Roman"/>
          <w:b/>
          <w:bCs/>
          <w:sz w:val="24"/>
          <w:szCs w:val="24"/>
        </w:rPr>
        <w:t xml:space="preserve">Ugo </w:t>
      </w:r>
      <w:proofErr w:type="spellStart"/>
      <w:r>
        <w:rPr>
          <w:rFonts w:ascii="Times New Roman" w:hAnsi="Times New Roman" w:cs="Times New Roman"/>
          <w:b/>
          <w:bCs/>
          <w:sz w:val="24"/>
          <w:szCs w:val="24"/>
        </w:rPr>
        <w:t>Grozio</w:t>
      </w:r>
      <w:proofErr w:type="spellEnd"/>
      <w:r>
        <w:rPr>
          <w:rFonts w:ascii="Times New Roman" w:hAnsi="Times New Roman" w:cs="Times New Roman"/>
          <w:b/>
          <w:bCs/>
          <w:sz w:val="24"/>
          <w:szCs w:val="24"/>
        </w:rPr>
        <w:t xml:space="preserve"> De </w:t>
      </w:r>
      <w:proofErr w:type="spellStart"/>
      <w:r>
        <w:rPr>
          <w:rFonts w:ascii="Times New Roman" w:hAnsi="Times New Roman" w:cs="Times New Roman"/>
          <w:b/>
          <w:bCs/>
          <w:sz w:val="24"/>
          <w:szCs w:val="24"/>
        </w:rPr>
        <w:t>jure</w:t>
      </w:r>
      <w:proofErr w:type="spellEnd"/>
      <w:r>
        <w:rPr>
          <w:rFonts w:ascii="Times New Roman" w:hAnsi="Times New Roman" w:cs="Times New Roman"/>
          <w:b/>
          <w:bCs/>
          <w:sz w:val="24"/>
          <w:szCs w:val="24"/>
        </w:rPr>
        <w:t xml:space="preserve"> belli </w:t>
      </w:r>
      <w:proofErr w:type="spellStart"/>
      <w:r>
        <w:rPr>
          <w:rFonts w:ascii="Times New Roman" w:hAnsi="Times New Roman" w:cs="Times New Roman"/>
          <w:b/>
          <w:bCs/>
          <w:sz w:val="24"/>
          <w:szCs w:val="24"/>
        </w:rPr>
        <w:t>ac</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pacis</w:t>
      </w:r>
      <w:proofErr w:type="spellEnd"/>
      <w:r>
        <w:rPr>
          <w:rFonts w:ascii="Times New Roman" w:hAnsi="Times New Roman" w:cs="Times New Roman"/>
          <w:b/>
          <w:bCs/>
          <w:sz w:val="24"/>
          <w:szCs w:val="24"/>
        </w:rPr>
        <w:t xml:space="preserve"> 1625 ( … “</w:t>
      </w:r>
      <w:proofErr w:type="spellStart"/>
      <w:r w:rsidRPr="00020002">
        <w:rPr>
          <w:rFonts w:ascii="Times New Roman" w:hAnsi="Times New Roman" w:cs="Times New Roman"/>
          <w:b/>
          <w:bCs/>
          <w:i/>
          <w:iCs/>
          <w:sz w:val="24"/>
          <w:szCs w:val="24"/>
        </w:rPr>
        <w:t>etiamsi</w:t>
      </w:r>
      <w:proofErr w:type="spellEnd"/>
      <w:r w:rsidRPr="00020002">
        <w:rPr>
          <w:rFonts w:ascii="Times New Roman" w:hAnsi="Times New Roman" w:cs="Times New Roman"/>
          <w:b/>
          <w:bCs/>
          <w:i/>
          <w:iCs/>
          <w:sz w:val="24"/>
          <w:szCs w:val="24"/>
        </w:rPr>
        <w:t xml:space="preserve"> </w:t>
      </w:r>
      <w:proofErr w:type="spellStart"/>
      <w:r w:rsidRPr="00020002">
        <w:rPr>
          <w:rFonts w:ascii="Times New Roman" w:hAnsi="Times New Roman" w:cs="Times New Roman"/>
          <w:b/>
          <w:bCs/>
          <w:i/>
          <w:iCs/>
          <w:sz w:val="24"/>
          <w:szCs w:val="24"/>
        </w:rPr>
        <w:t>daremus</w:t>
      </w:r>
      <w:proofErr w:type="spellEnd"/>
      <w:r w:rsidRPr="00020002">
        <w:rPr>
          <w:rFonts w:ascii="Times New Roman" w:hAnsi="Times New Roman" w:cs="Times New Roman"/>
          <w:b/>
          <w:bCs/>
          <w:i/>
          <w:iCs/>
          <w:sz w:val="24"/>
          <w:szCs w:val="24"/>
        </w:rPr>
        <w:t xml:space="preserve"> – </w:t>
      </w:r>
      <w:proofErr w:type="spellStart"/>
      <w:r w:rsidRPr="00020002">
        <w:rPr>
          <w:rFonts w:ascii="Times New Roman" w:hAnsi="Times New Roman" w:cs="Times New Roman"/>
          <w:b/>
          <w:bCs/>
          <w:i/>
          <w:iCs/>
          <w:sz w:val="24"/>
          <w:szCs w:val="24"/>
        </w:rPr>
        <w:t>quod</w:t>
      </w:r>
      <w:proofErr w:type="spellEnd"/>
      <w:r w:rsidRPr="00020002">
        <w:rPr>
          <w:rFonts w:ascii="Times New Roman" w:hAnsi="Times New Roman" w:cs="Times New Roman"/>
          <w:b/>
          <w:bCs/>
          <w:i/>
          <w:iCs/>
          <w:sz w:val="24"/>
          <w:szCs w:val="24"/>
        </w:rPr>
        <w:t xml:space="preserve"> sine </w:t>
      </w:r>
      <w:proofErr w:type="spellStart"/>
      <w:r w:rsidRPr="00020002">
        <w:rPr>
          <w:rFonts w:ascii="Times New Roman" w:hAnsi="Times New Roman" w:cs="Times New Roman"/>
          <w:b/>
          <w:bCs/>
          <w:i/>
          <w:iCs/>
          <w:sz w:val="24"/>
          <w:szCs w:val="24"/>
        </w:rPr>
        <w:t>summo</w:t>
      </w:r>
      <w:proofErr w:type="spellEnd"/>
      <w:r w:rsidRPr="00020002">
        <w:rPr>
          <w:rFonts w:ascii="Times New Roman" w:hAnsi="Times New Roman" w:cs="Times New Roman"/>
          <w:b/>
          <w:bCs/>
          <w:i/>
          <w:iCs/>
          <w:sz w:val="24"/>
          <w:szCs w:val="24"/>
        </w:rPr>
        <w:t xml:space="preserve"> scelere </w:t>
      </w:r>
      <w:proofErr w:type="spellStart"/>
      <w:r w:rsidRPr="00020002">
        <w:rPr>
          <w:rFonts w:ascii="Times New Roman" w:hAnsi="Times New Roman" w:cs="Times New Roman"/>
          <w:b/>
          <w:bCs/>
          <w:i/>
          <w:iCs/>
          <w:sz w:val="24"/>
          <w:szCs w:val="24"/>
        </w:rPr>
        <w:t>dari</w:t>
      </w:r>
      <w:proofErr w:type="spellEnd"/>
      <w:r w:rsidRPr="00020002">
        <w:rPr>
          <w:rFonts w:ascii="Times New Roman" w:hAnsi="Times New Roman" w:cs="Times New Roman"/>
          <w:b/>
          <w:bCs/>
          <w:i/>
          <w:iCs/>
          <w:sz w:val="24"/>
          <w:szCs w:val="24"/>
        </w:rPr>
        <w:t xml:space="preserve"> </w:t>
      </w:r>
      <w:proofErr w:type="spellStart"/>
      <w:r w:rsidRPr="00020002">
        <w:rPr>
          <w:rFonts w:ascii="Times New Roman" w:hAnsi="Times New Roman" w:cs="Times New Roman"/>
          <w:b/>
          <w:bCs/>
          <w:i/>
          <w:iCs/>
          <w:sz w:val="24"/>
          <w:szCs w:val="24"/>
        </w:rPr>
        <w:t>nequit</w:t>
      </w:r>
      <w:proofErr w:type="spellEnd"/>
      <w:r w:rsidRPr="00020002">
        <w:rPr>
          <w:rFonts w:ascii="Times New Roman" w:hAnsi="Times New Roman" w:cs="Times New Roman"/>
          <w:b/>
          <w:bCs/>
          <w:i/>
          <w:iCs/>
          <w:sz w:val="24"/>
          <w:szCs w:val="24"/>
        </w:rPr>
        <w:t xml:space="preserve"> – </w:t>
      </w:r>
      <w:proofErr w:type="spellStart"/>
      <w:r w:rsidRPr="00020002">
        <w:rPr>
          <w:rFonts w:ascii="Times New Roman" w:hAnsi="Times New Roman" w:cs="Times New Roman"/>
          <w:b/>
          <w:bCs/>
          <w:i/>
          <w:iCs/>
          <w:sz w:val="24"/>
          <w:szCs w:val="24"/>
        </w:rPr>
        <w:t>Deum</w:t>
      </w:r>
      <w:proofErr w:type="spellEnd"/>
      <w:r w:rsidRPr="00020002">
        <w:rPr>
          <w:rFonts w:ascii="Times New Roman" w:hAnsi="Times New Roman" w:cs="Times New Roman"/>
          <w:b/>
          <w:bCs/>
          <w:i/>
          <w:iCs/>
          <w:sz w:val="24"/>
          <w:szCs w:val="24"/>
        </w:rPr>
        <w:t xml:space="preserve"> non esse aut ab </w:t>
      </w:r>
      <w:proofErr w:type="spellStart"/>
      <w:r w:rsidRPr="00020002">
        <w:rPr>
          <w:rFonts w:ascii="Times New Roman" w:hAnsi="Times New Roman" w:cs="Times New Roman"/>
          <w:b/>
          <w:bCs/>
          <w:i/>
          <w:iCs/>
          <w:sz w:val="24"/>
          <w:szCs w:val="24"/>
        </w:rPr>
        <w:t>eo</w:t>
      </w:r>
      <w:proofErr w:type="spellEnd"/>
      <w:r w:rsidRPr="00020002">
        <w:rPr>
          <w:rFonts w:ascii="Times New Roman" w:hAnsi="Times New Roman" w:cs="Times New Roman"/>
          <w:b/>
          <w:bCs/>
          <w:i/>
          <w:iCs/>
          <w:sz w:val="24"/>
          <w:szCs w:val="24"/>
        </w:rPr>
        <w:t xml:space="preserve"> non curari </w:t>
      </w:r>
      <w:proofErr w:type="spellStart"/>
      <w:r w:rsidRPr="00020002">
        <w:rPr>
          <w:rFonts w:ascii="Times New Roman" w:hAnsi="Times New Roman" w:cs="Times New Roman"/>
          <w:b/>
          <w:bCs/>
          <w:i/>
          <w:iCs/>
          <w:sz w:val="24"/>
          <w:szCs w:val="24"/>
        </w:rPr>
        <w:t>negotia</w:t>
      </w:r>
      <w:proofErr w:type="spellEnd"/>
      <w:r w:rsidRPr="00020002">
        <w:rPr>
          <w:rFonts w:ascii="Times New Roman" w:hAnsi="Times New Roman" w:cs="Times New Roman"/>
          <w:b/>
          <w:bCs/>
          <w:i/>
          <w:iCs/>
          <w:sz w:val="24"/>
          <w:szCs w:val="24"/>
        </w:rPr>
        <w:t xml:space="preserve"> </w:t>
      </w:r>
      <w:proofErr w:type="spellStart"/>
      <w:r w:rsidRPr="00020002">
        <w:rPr>
          <w:rFonts w:ascii="Times New Roman" w:hAnsi="Times New Roman" w:cs="Times New Roman"/>
          <w:b/>
          <w:bCs/>
          <w:i/>
          <w:iCs/>
          <w:sz w:val="24"/>
          <w:szCs w:val="24"/>
        </w:rPr>
        <w:t>humana</w:t>
      </w:r>
      <w:proofErr w:type="spellEnd"/>
      <w:r>
        <w:rPr>
          <w:rFonts w:ascii="Times New Roman" w:hAnsi="Times New Roman" w:cs="Times New Roman"/>
          <w:b/>
          <w:bCs/>
          <w:sz w:val="24"/>
          <w:szCs w:val="24"/>
        </w:rPr>
        <w:t>”)</w:t>
      </w:r>
    </w:p>
    <w:p w14:paraId="0CFE53B2" w14:textId="77777777" w:rsidR="007D2EA7" w:rsidRDefault="007D2EA7" w:rsidP="005044FA">
      <w:pPr>
        <w:jc w:val="both"/>
        <w:rPr>
          <w:rFonts w:ascii="Times New Roman" w:hAnsi="Times New Roman" w:cs="Times New Roman"/>
          <w:b/>
          <w:bCs/>
          <w:sz w:val="24"/>
          <w:szCs w:val="24"/>
        </w:rPr>
      </w:pPr>
      <w:proofErr w:type="spellStart"/>
      <w:r>
        <w:rPr>
          <w:rFonts w:ascii="Times New Roman" w:hAnsi="Times New Roman" w:cs="Times New Roman"/>
          <w:b/>
          <w:bCs/>
          <w:sz w:val="24"/>
          <w:szCs w:val="24"/>
        </w:rPr>
        <w:t>Westfaelischer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Friede</w:t>
      </w:r>
      <w:proofErr w:type="spellEnd"/>
      <w:r>
        <w:rPr>
          <w:rFonts w:ascii="Times New Roman" w:hAnsi="Times New Roman" w:cs="Times New Roman"/>
          <w:b/>
          <w:bCs/>
          <w:sz w:val="24"/>
          <w:szCs w:val="24"/>
        </w:rPr>
        <w:t xml:space="preserve"> 1648</w:t>
      </w:r>
    </w:p>
    <w:p w14:paraId="13DD8DE3" w14:textId="77777777" w:rsidR="007D2EA7" w:rsidRDefault="007D2EA7" w:rsidP="005044FA">
      <w:pPr>
        <w:jc w:val="both"/>
        <w:rPr>
          <w:rFonts w:ascii="Times New Roman" w:hAnsi="Times New Roman" w:cs="Times New Roman"/>
          <w:b/>
          <w:bCs/>
          <w:sz w:val="24"/>
          <w:szCs w:val="24"/>
        </w:rPr>
      </w:pPr>
      <w:r w:rsidRPr="00020002">
        <w:rPr>
          <w:rFonts w:ascii="Times New Roman" w:hAnsi="Times New Roman" w:cs="Times New Roman"/>
          <w:b/>
          <w:bCs/>
          <w:i/>
          <w:iCs/>
          <w:sz w:val="24"/>
          <w:szCs w:val="24"/>
        </w:rPr>
        <w:t xml:space="preserve">Par in </w:t>
      </w:r>
      <w:proofErr w:type="spellStart"/>
      <w:r w:rsidRPr="00020002">
        <w:rPr>
          <w:rFonts w:ascii="Times New Roman" w:hAnsi="Times New Roman" w:cs="Times New Roman"/>
          <w:b/>
          <w:bCs/>
          <w:i/>
          <w:iCs/>
          <w:sz w:val="24"/>
          <w:szCs w:val="24"/>
        </w:rPr>
        <w:t>parem</w:t>
      </w:r>
      <w:proofErr w:type="spellEnd"/>
      <w:r w:rsidRPr="00020002">
        <w:rPr>
          <w:rFonts w:ascii="Times New Roman" w:hAnsi="Times New Roman" w:cs="Times New Roman"/>
          <w:b/>
          <w:bCs/>
          <w:i/>
          <w:iCs/>
          <w:sz w:val="24"/>
          <w:szCs w:val="24"/>
        </w:rPr>
        <w:t xml:space="preserve"> non </w:t>
      </w:r>
      <w:proofErr w:type="spellStart"/>
      <w:r w:rsidRPr="00020002">
        <w:rPr>
          <w:rFonts w:ascii="Times New Roman" w:hAnsi="Times New Roman" w:cs="Times New Roman"/>
          <w:b/>
          <w:bCs/>
          <w:i/>
          <w:iCs/>
          <w:sz w:val="24"/>
          <w:szCs w:val="24"/>
        </w:rPr>
        <w:t>habet</w:t>
      </w:r>
      <w:proofErr w:type="spellEnd"/>
      <w:r w:rsidRPr="00020002">
        <w:rPr>
          <w:rFonts w:ascii="Times New Roman" w:hAnsi="Times New Roman" w:cs="Times New Roman"/>
          <w:b/>
          <w:bCs/>
          <w:i/>
          <w:iCs/>
          <w:sz w:val="24"/>
          <w:szCs w:val="24"/>
        </w:rPr>
        <w:t xml:space="preserve"> </w:t>
      </w:r>
      <w:proofErr w:type="spellStart"/>
      <w:r w:rsidRPr="00020002">
        <w:rPr>
          <w:rFonts w:ascii="Times New Roman" w:hAnsi="Times New Roman" w:cs="Times New Roman"/>
          <w:b/>
          <w:bCs/>
          <w:i/>
          <w:iCs/>
          <w:sz w:val="24"/>
          <w:szCs w:val="24"/>
        </w:rPr>
        <w:t>jusidictionem</w:t>
      </w:r>
      <w:proofErr w:type="spellEnd"/>
      <w:r>
        <w:rPr>
          <w:rFonts w:ascii="Times New Roman" w:hAnsi="Times New Roman" w:cs="Times New Roman"/>
          <w:b/>
          <w:bCs/>
          <w:sz w:val="24"/>
          <w:szCs w:val="24"/>
        </w:rPr>
        <w:t xml:space="preserve"> (es. caso del Cermis 1998</w:t>
      </w:r>
      <w:r w:rsidR="00020002">
        <w:rPr>
          <w:rFonts w:ascii="Times New Roman" w:hAnsi="Times New Roman" w:cs="Times New Roman"/>
          <w:b/>
          <w:bCs/>
          <w:sz w:val="24"/>
          <w:szCs w:val="24"/>
        </w:rPr>
        <w:t xml:space="preserve"> – Germania c/ Italia 7 febbraio 2012</w:t>
      </w:r>
      <w:r>
        <w:rPr>
          <w:rFonts w:ascii="Times New Roman" w:hAnsi="Times New Roman" w:cs="Times New Roman"/>
          <w:b/>
          <w:bCs/>
          <w:sz w:val="24"/>
          <w:szCs w:val="24"/>
        </w:rPr>
        <w:t>)</w:t>
      </w:r>
    </w:p>
    <w:p w14:paraId="3598F61D" w14:textId="77777777" w:rsidR="007D2EA7" w:rsidRDefault="007D2EA7" w:rsidP="005044FA">
      <w:pPr>
        <w:jc w:val="both"/>
        <w:rPr>
          <w:rFonts w:ascii="Times New Roman" w:hAnsi="Times New Roman" w:cs="Times New Roman"/>
          <w:b/>
          <w:bCs/>
          <w:sz w:val="24"/>
          <w:szCs w:val="24"/>
        </w:rPr>
      </w:pPr>
      <w:proofErr w:type="spellStart"/>
      <w:r w:rsidRPr="005044FA">
        <w:rPr>
          <w:rFonts w:ascii="Times New Roman" w:hAnsi="Times New Roman" w:cs="Times New Roman"/>
          <w:b/>
          <w:bCs/>
          <w:i/>
          <w:iCs/>
          <w:sz w:val="24"/>
          <w:szCs w:val="24"/>
        </w:rPr>
        <w:t>Inadimplenti</w:t>
      </w:r>
      <w:proofErr w:type="spellEnd"/>
      <w:r w:rsidRPr="005044FA">
        <w:rPr>
          <w:rFonts w:ascii="Times New Roman" w:hAnsi="Times New Roman" w:cs="Times New Roman"/>
          <w:b/>
          <w:bCs/>
          <w:i/>
          <w:iCs/>
          <w:sz w:val="24"/>
          <w:szCs w:val="24"/>
        </w:rPr>
        <w:t xml:space="preserve"> non est </w:t>
      </w:r>
      <w:proofErr w:type="spellStart"/>
      <w:r w:rsidRPr="005044FA">
        <w:rPr>
          <w:rFonts w:ascii="Times New Roman" w:hAnsi="Times New Roman" w:cs="Times New Roman"/>
          <w:b/>
          <w:bCs/>
          <w:i/>
          <w:iCs/>
          <w:sz w:val="24"/>
          <w:szCs w:val="24"/>
        </w:rPr>
        <w:t>adimplendum</w:t>
      </w:r>
      <w:proofErr w:type="spellEnd"/>
      <w:r>
        <w:rPr>
          <w:rFonts w:ascii="Times New Roman" w:hAnsi="Times New Roman" w:cs="Times New Roman"/>
          <w:b/>
          <w:bCs/>
          <w:sz w:val="24"/>
          <w:szCs w:val="24"/>
        </w:rPr>
        <w:t xml:space="preserve"> (base contrattuale del diritto internazionale)</w:t>
      </w:r>
    </w:p>
    <w:p w14:paraId="4826764D" w14:textId="77777777" w:rsidR="008F666C" w:rsidRDefault="007D2EA7" w:rsidP="005044FA">
      <w:pPr>
        <w:jc w:val="both"/>
        <w:rPr>
          <w:rFonts w:ascii="Times New Roman" w:hAnsi="Times New Roman" w:cs="Times New Roman"/>
          <w:b/>
          <w:bCs/>
          <w:sz w:val="24"/>
          <w:szCs w:val="24"/>
        </w:rPr>
      </w:pPr>
      <w:r>
        <w:rPr>
          <w:rFonts w:ascii="Times New Roman" w:hAnsi="Times New Roman" w:cs="Times New Roman"/>
          <w:b/>
          <w:bCs/>
          <w:sz w:val="24"/>
          <w:szCs w:val="24"/>
        </w:rPr>
        <w:t>Funzione giurisdizionale di natura arbitrale</w:t>
      </w:r>
    </w:p>
    <w:p w14:paraId="0695318E" w14:textId="77777777" w:rsidR="008F666C" w:rsidRDefault="00020002" w:rsidP="005044FA">
      <w:pPr>
        <w:jc w:val="both"/>
        <w:rPr>
          <w:rFonts w:ascii="Times New Roman" w:hAnsi="Times New Roman" w:cs="Times New Roman"/>
          <w:b/>
          <w:bCs/>
          <w:sz w:val="24"/>
          <w:szCs w:val="24"/>
        </w:rPr>
      </w:pPr>
      <w:r>
        <w:rPr>
          <w:rFonts w:ascii="Times New Roman" w:hAnsi="Times New Roman" w:cs="Times New Roman"/>
          <w:b/>
          <w:bCs/>
          <w:sz w:val="24"/>
          <w:szCs w:val="24"/>
        </w:rPr>
        <w:t>Fonti: art. 38 Statuto della CIG</w:t>
      </w:r>
    </w:p>
    <w:p w14:paraId="249AD64D" w14:textId="77777777" w:rsidR="005044FA" w:rsidRPr="005044FA" w:rsidRDefault="005044FA" w:rsidP="005044FA">
      <w:pPr>
        <w:jc w:val="both"/>
        <w:rPr>
          <w:rFonts w:ascii="Times New Roman" w:hAnsi="Times New Roman" w:cs="Times New Roman"/>
          <w:b/>
          <w:bCs/>
          <w:sz w:val="24"/>
          <w:szCs w:val="24"/>
        </w:rPr>
      </w:pPr>
      <w:r>
        <w:rPr>
          <w:rFonts w:ascii="Times New Roman" w:hAnsi="Times New Roman" w:cs="Times New Roman"/>
          <w:b/>
          <w:bCs/>
          <w:sz w:val="24"/>
          <w:szCs w:val="24"/>
        </w:rPr>
        <w:t xml:space="preserve">La Corte (…) </w:t>
      </w:r>
      <w:r w:rsidRPr="005044FA">
        <w:rPr>
          <w:rFonts w:ascii="Times New Roman" w:hAnsi="Times New Roman" w:cs="Times New Roman"/>
          <w:b/>
          <w:bCs/>
          <w:sz w:val="24"/>
          <w:szCs w:val="24"/>
        </w:rPr>
        <w:t>applica:</w:t>
      </w:r>
    </w:p>
    <w:p w14:paraId="631C06E9" w14:textId="77777777" w:rsidR="005044FA" w:rsidRPr="005044FA" w:rsidRDefault="005044FA" w:rsidP="005044FA">
      <w:pPr>
        <w:jc w:val="both"/>
        <w:rPr>
          <w:rFonts w:ascii="Times New Roman" w:hAnsi="Times New Roman" w:cs="Times New Roman"/>
          <w:b/>
          <w:bCs/>
          <w:sz w:val="24"/>
          <w:szCs w:val="24"/>
        </w:rPr>
      </w:pPr>
      <w:r w:rsidRPr="005044FA">
        <w:rPr>
          <w:rFonts w:ascii="Times New Roman" w:hAnsi="Times New Roman" w:cs="Times New Roman"/>
          <w:b/>
          <w:bCs/>
          <w:sz w:val="24"/>
          <w:szCs w:val="24"/>
        </w:rPr>
        <w:t>a.</w:t>
      </w:r>
      <w:r>
        <w:rPr>
          <w:rFonts w:ascii="Times New Roman" w:hAnsi="Times New Roman" w:cs="Times New Roman"/>
          <w:b/>
          <w:bCs/>
          <w:sz w:val="24"/>
          <w:szCs w:val="24"/>
        </w:rPr>
        <w:t xml:space="preserve"> </w:t>
      </w:r>
      <w:r w:rsidRPr="005044FA">
        <w:rPr>
          <w:rFonts w:ascii="Times New Roman" w:hAnsi="Times New Roman" w:cs="Times New Roman"/>
          <w:b/>
          <w:bCs/>
          <w:sz w:val="24"/>
          <w:szCs w:val="24"/>
        </w:rPr>
        <w:t>le convenzioni internazionali, generali o speciali, che istituiscono delle regole espressamente riconosciute dagli Stati in lite;</w:t>
      </w:r>
    </w:p>
    <w:p w14:paraId="454208AA" w14:textId="77777777" w:rsidR="005044FA" w:rsidRPr="005044FA" w:rsidRDefault="005044FA" w:rsidP="005044FA">
      <w:pPr>
        <w:jc w:val="both"/>
        <w:rPr>
          <w:rFonts w:ascii="Times New Roman" w:hAnsi="Times New Roman" w:cs="Times New Roman"/>
          <w:b/>
          <w:bCs/>
          <w:sz w:val="24"/>
          <w:szCs w:val="24"/>
        </w:rPr>
      </w:pPr>
      <w:r w:rsidRPr="005044FA">
        <w:rPr>
          <w:rFonts w:ascii="Times New Roman" w:hAnsi="Times New Roman" w:cs="Times New Roman"/>
          <w:b/>
          <w:bCs/>
          <w:sz w:val="24"/>
          <w:szCs w:val="24"/>
        </w:rPr>
        <w:t>b.</w:t>
      </w:r>
      <w:r>
        <w:rPr>
          <w:rFonts w:ascii="Times New Roman" w:hAnsi="Times New Roman" w:cs="Times New Roman"/>
          <w:b/>
          <w:bCs/>
          <w:sz w:val="24"/>
          <w:szCs w:val="24"/>
        </w:rPr>
        <w:t xml:space="preserve"> </w:t>
      </w:r>
      <w:r w:rsidRPr="005044FA">
        <w:rPr>
          <w:rFonts w:ascii="Times New Roman" w:hAnsi="Times New Roman" w:cs="Times New Roman"/>
          <w:b/>
          <w:bCs/>
          <w:sz w:val="24"/>
          <w:szCs w:val="24"/>
        </w:rPr>
        <w:t>la consuetudine internazionale che attesta una pratica generale accettata come diritto;</w:t>
      </w:r>
    </w:p>
    <w:p w14:paraId="11532A71" w14:textId="77777777" w:rsidR="005044FA" w:rsidRPr="005044FA" w:rsidRDefault="005044FA" w:rsidP="005044FA">
      <w:pPr>
        <w:jc w:val="both"/>
        <w:rPr>
          <w:rFonts w:ascii="Times New Roman" w:hAnsi="Times New Roman" w:cs="Times New Roman"/>
          <w:b/>
          <w:bCs/>
          <w:sz w:val="24"/>
          <w:szCs w:val="24"/>
        </w:rPr>
      </w:pPr>
      <w:r w:rsidRPr="005044FA">
        <w:rPr>
          <w:rFonts w:ascii="Times New Roman" w:hAnsi="Times New Roman" w:cs="Times New Roman"/>
          <w:b/>
          <w:bCs/>
          <w:sz w:val="24"/>
          <w:szCs w:val="24"/>
        </w:rPr>
        <w:t>c.</w:t>
      </w:r>
      <w:r>
        <w:rPr>
          <w:rFonts w:ascii="Times New Roman" w:hAnsi="Times New Roman" w:cs="Times New Roman"/>
          <w:b/>
          <w:bCs/>
          <w:sz w:val="24"/>
          <w:szCs w:val="24"/>
        </w:rPr>
        <w:t xml:space="preserve"> </w:t>
      </w:r>
      <w:r w:rsidRPr="005044FA">
        <w:rPr>
          <w:rFonts w:ascii="Times New Roman" w:hAnsi="Times New Roman" w:cs="Times New Roman"/>
          <w:b/>
          <w:bCs/>
          <w:sz w:val="24"/>
          <w:szCs w:val="24"/>
        </w:rPr>
        <w:t>i principi generali di diritto riconosciuti dalle nazioni civili;</w:t>
      </w:r>
    </w:p>
    <w:p w14:paraId="3E8FEBDF" w14:textId="77777777" w:rsidR="005044FA" w:rsidRDefault="005044FA" w:rsidP="005044FA">
      <w:pPr>
        <w:jc w:val="both"/>
        <w:rPr>
          <w:rFonts w:ascii="Times New Roman" w:hAnsi="Times New Roman" w:cs="Times New Roman"/>
          <w:b/>
          <w:bCs/>
          <w:sz w:val="24"/>
          <w:szCs w:val="24"/>
        </w:rPr>
      </w:pPr>
      <w:r w:rsidRPr="005044FA">
        <w:rPr>
          <w:rFonts w:ascii="Times New Roman" w:hAnsi="Times New Roman" w:cs="Times New Roman"/>
          <w:b/>
          <w:bCs/>
          <w:sz w:val="24"/>
          <w:szCs w:val="24"/>
        </w:rPr>
        <w:t>d.</w:t>
      </w:r>
      <w:r>
        <w:rPr>
          <w:rFonts w:ascii="Times New Roman" w:hAnsi="Times New Roman" w:cs="Times New Roman"/>
          <w:b/>
          <w:bCs/>
          <w:sz w:val="24"/>
          <w:szCs w:val="24"/>
        </w:rPr>
        <w:t xml:space="preserve"> </w:t>
      </w:r>
      <w:r w:rsidRPr="005044FA">
        <w:rPr>
          <w:rFonts w:ascii="Times New Roman" w:hAnsi="Times New Roman" w:cs="Times New Roman"/>
          <w:b/>
          <w:bCs/>
          <w:sz w:val="24"/>
          <w:szCs w:val="24"/>
        </w:rPr>
        <w:t>con riserva della disposizione dell'articolo 59, le decisioni giudiziarie e la dottrina degli autori più autorevoli delle varie nazioni, come mezzi ausiliari per determinare le norme giuridiche.</w:t>
      </w:r>
    </w:p>
    <w:p w14:paraId="3258940B" w14:textId="77777777" w:rsidR="00020002" w:rsidRDefault="00020002" w:rsidP="005044FA">
      <w:pPr>
        <w:jc w:val="both"/>
        <w:rPr>
          <w:rFonts w:ascii="Times New Roman" w:hAnsi="Times New Roman" w:cs="Times New Roman"/>
          <w:b/>
          <w:bCs/>
          <w:sz w:val="24"/>
          <w:szCs w:val="24"/>
        </w:rPr>
      </w:pPr>
      <w:r>
        <w:rPr>
          <w:rFonts w:ascii="Times New Roman" w:hAnsi="Times New Roman" w:cs="Times New Roman"/>
          <w:b/>
          <w:bCs/>
          <w:sz w:val="24"/>
          <w:szCs w:val="24"/>
        </w:rPr>
        <w:t xml:space="preserve">Art. 53 </w:t>
      </w:r>
      <w:r w:rsidRPr="005044FA">
        <w:rPr>
          <w:rFonts w:ascii="Times New Roman" w:hAnsi="Times New Roman" w:cs="Times New Roman"/>
          <w:b/>
          <w:bCs/>
          <w:i/>
          <w:iCs/>
          <w:sz w:val="24"/>
          <w:szCs w:val="24"/>
        </w:rPr>
        <w:t xml:space="preserve">Jus </w:t>
      </w:r>
      <w:proofErr w:type="spellStart"/>
      <w:r w:rsidRPr="005044FA">
        <w:rPr>
          <w:rFonts w:ascii="Times New Roman" w:hAnsi="Times New Roman" w:cs="Times New Roman"/>
          <w:b/>
          <w:bCs/>
          <w:i/>
          <w:iCs/>
          <w:sz w:val="24"/>
          <w:szCs w:val="24"/>
        </w:rPr>
        <w:t>cogens</w:t>
      </w:r>
      <w:proofErr w:type="spellEnd"/>
      <w:r>
        <w:rPr>
          <w:rFonts w:ascii="Times New Roman" w:hAnsi="Times New Roman" w:cs="Times New Roman"/>
          <w:b/>
          <w:bCs/>
          <w:sz w:val="24"/>
          <w:szCs w:val="24"/>
        </w:rPr>
        <w:t xml:space="preserve"> - </w:t>
      </w:r>
      <w:proofErr w:type="spellStart"/>
      <w:r>
        <w:rPr>
          <w:rFonts w:ascii="Times New Roman" w:hAnsi="Times New Roman" w:cs="Times New Roman"/>
          <w:b/>
          <w:bCs/>
          <w:sz w:val="24"/>
          <w:szCs w:val="24"/>
        </w:rPr>
        <w:t>Conv</w:t>
      </w:r>
      <w:proofErr w:type="spellEnd"/>
      <w:r>
        <w:rPr>
          <w:rFonts w:ascii="Times New Roman" w:hAnsi="Times New Roman" w:cs="Times New Roman"/>
          <w:b/>
          <w:bCs/>
          <w:sz w:val="24"/>
          <w:szCs w:val="24"/>
        </w:rPr>
        <w:t>. di Vienna sul diritto dei trattati del 1969</w:t>
      </w:r>
    </w:p>
    <w:p w14:paraId="0B342F29" w14:textId="77777777" w:rsidR="00020002" w:rsidRDefault="00020002" w:rsidP="005044FA">
      <w:pPr>
        <w:jc w:val="both"/>
        <w:rPr>
          <w:rFonts w:ascii="Times New Roman" w:hAnsi="Times New Roman" w:cs="Times New Roman"/>
          <w:b/>
          <w:bCs/>
          <w:sz w:val="24"/>
          <w:szCs w:val="24"/>
        </w:rPr>
      </w:pPr>
      <w:r>
        <w:rPr>
          <w:rFonts w:ascii="Times New Roman" w:hAnsi="Times New Roman" w:cs="Times New Roman"/>
          <w:b/>
          <w:bCs/>
          <w:sz w:val="24"/>
          <w:szCs w:val="24"/>
        </w:rPr>
        <w:t>Dalla giurisprudenza della Corte permanente internazionale di giustizia si ricavano questi tratti importanti:</w:t>
      </w:r>
    </w:p>
    <w:p w14:paraId="6C01DE1B" w14:textId="77777777" w:rsidR="00020002" w:rsidRDefault="00020002" w:rsidP="005044FA">
      <w:pPr>
        <w:pStyle w:val="Paragrafoelenco"/>
        <w:numPr>
          <w:ilvl w:val="0"/>
          <w:numId w:val="1"/>
        </w:numPr>
        <w:jc w:val="both"/>
        <w:rPr>
          <w:rFonts w:ascii="Times New Roman" w:hAnsi="Times New Roman" w:cs="Times New Roman"/>
          <w:b/>
          <w:bCs/>
          <w:sz w:val="24"/>
          <w:szCs w:val="24"/>
        </w:rPr>
      </w:pPr>
      <w:proofErr w:type="spellStart"/>
      <w:r w:rsidRPr="005044FA">
        <w:rPr>
          <w:rFonts w:ascii="Times New Roman" w:hAnsi="Times New Roman" w:cs="Times New Roman"/>
          <w:b/>
          <w:bCs/>
          <w:i/>
          <w:iCs/>
          <w:sz w:val="24"/>
          <w:szCs w:val="24"/>
        </w:rPr>
        <w:t>Mavrommatis</w:t>
      </w:r>
      <w:proofErr w:type="spellEnd"/>
      <w:r>
        <w:rPr>
          <w:rFonts w:ascii="Times New Roman" w:hAnsi="Times New Roman" w:cs="Times New Roman"/>
          <w:b/>
          <w:bCs/>
          <w:sz w:val="24"/>
          <w:szCs w:val="24"/>
        </w:rPr>
        <w:t xml:space="preserve"> 1924 (azione diplomatica)</w:t>
      </w:r>
    </w:p>
    <w:p w14:paraId="1EB2A414" w14:textId="77777777" w:rsidR="00020002" w:rsidRDefault="00020002" w:rsidP="005044FA">
      <w:pPr>
        <w:pStyle w:val="Paragrafoelenco"/>
        <w:numPr>
          <w:ilvl w:val="0"/>
          <w:numId w:val="1"/>
        </w:numPr>
        <w:jc w:val="both"/>
        <w:rPr>
          <w:rFonts w:ascii="Times New Roman" w:hAnsi="Times New Roman" w:cs="Times New Roman"/>
          <w:b/>
          <w:bCs/>
          <w:sz w:val="24"/>
          <w:szCs w:val="24"/>
        </w:rPr>
      </w:pPr>
      <w:r w:rsidRPr="005044FA">
        <w:rPr>
          <w:rFonts w:ascii="Times New Roman" w:hAnsi="Times New Roman" w:cs="Times New Roman"/>
          <w:b/>
          <w:bCs/>
          <w:i/>
          <w:iCs/>
          <w:sz w:val="24"/>
          <w:szCs w:val="24"/>
        </w:rPr>
        <w:t xml:space="preserve">Lotus </w:t>
      </w:r>
      <w:r>
        <w:rPr>
          <w:rFonts w:ascii="Times New Roman" w:hAnsi="Times New Roman" w:cs="Times New Roman"/>
          <w:b/>
          <w:bCs/>
          <w:sz w:val="24"/>
          <w:szCs w:val="24"/>
        </w:rPr>
        <w:t>1927 (rilevanza della prassi degli Stati, anche in termini di astensione, per la formazione della n. consuetudinaria)</w:t>
      </w:r>
    </w:p>
    <w:p w14:paraId="464D46E4" w14:textId="77777777" w:rsidR="00020002" w:rsidRDefault="00020002" w:rsidP="005044FA">
      <w:pPr>
        <w:pStyle w:val="Paragrafoelenco"/>
        <w:numPr>
          <w:ilvl w:val="0"/>
          <w:numId w:val="1"/>
        </w:numPr>
        <w:jc w:val="both"/>
        <w:rPr>
          <w:rFonts w:ascii="Times New Roman" w:hAnsi="Times New Roman" w:cs="Times New Roman"/>
          <w:b/>
          <w:bCs/>
          <w:sz w:val="24"/>
          <w:szCs w:val="24"/>
        </w:rPr>
      </w:pPr>
      <w:proofErr w:type="spellStart"/>
      <w:r w:rsidRPr="005044FA">
        <w:rPr>
          <w:rFonts w:ascii="Times New Roman" w:hAnsi="Times New Roman" w:cs="Times New Roman"/>
          <w:b/>
          <w:bCs/>
          <w:i/>
          <w:iCs/>
          <w:sz w:val="24"/>
          <w:szCs w:val="24"/>
        </w:rPr>
        <w:t>Chorzow</w:t>
      </w:r>
      <w:proofErr w:type="spellEnd"/>
      <w:r w:rsidRPr="005044FA">
        <w:rPr>
          <w:rFonts w:ascii="Times New Roman" w:hAnsi="Times New Roman" w:cs="Times New Roman"/>
          <w:b/>
          <w:bCs/>
          <w:i/>
          <w:iCs/>
          <w:sz w:val="24"/>
          <w:szCs w:val="24"/>
        </w:rPr>
        <w:t xml:space="preserve"> </w:t>
      </w:r>
      <w:proofErr w:type="spellStart"/>
      <w:r w:rsidRPr="005044FA">
        <w:rPr>
          <w:rFonts w:ascii="Times New Roman" w:hAnsi="Times New Roman" w:cs="Times New Roman"/>
          <w:b/>
          <w:bCs/>
          <w:i/>
          <w:iCs/>
          <w:sz w:val="24"/>
          <w:szCs w:val="24"/>
        </w:rPr>
        <w:t>Factory</w:t>
      </w:r>
      <w:proofErr w:type="spellEnd"/>
      <w:r>
        <w:rPr>
          <w:rFonts w:ascii="Times New Roman" w:hAnsi="Times New Roman" w:cs="Times New Roman"/>
          <w:b/>
          <w:bCs/>
          <w:sz w:val="24"/>
          <w:szCs w:val="24"/>
        </w:rPr>
        <w:t xml:space="preserve"> 1927 (obbligo di riparazione)</w:t>
      </w:r>
    </w:p>
    <w:p w14:paraId="1DA57870" w14:textId="77777777" w:rsidR="00020002" w:rsidRDefault="00020002" w:rsidP="005044FA">
      <w:pPr>
        <w:pStyle w:val="Paragrafoelenco"/>
        <w:numPr>
          <w:ilvl w:val="0"/>
          <w:numId w:val="1"/>
        </w:numPr>
        <w:jc w:val="both"/>
        <w:rPr>
          <w:rFonts w:ascii="Times New Roman" w:hAnsi="Times New Roman" w:cs="Times New Roman"/>
          <w:b/>
          <w:bCs/>
          <w:sz w:val="24"/>
          <w:szCs w:val="24"/>
        </w:rPr>
      </w:pPr>
      <w:proofErr w:type="spellStart"/>
      <w:r w:rsidRPr="005044FA">
        <w:rPr>
          <w:rFonts w:ascii="Times New Roman" w:hAnsi="Times New Roman" w:cs="Times New Roman"/>
          <w:b/>
          <w:bCs/>
          <w:i/>
          <w:iCs/>
          <w:sz w:val="24"/>
          <w:szCs w:val="24"/>
        </w:rPr>
        <w:t>Compétences</w:t>
      </w:r>
      <w:proofErr w:type="spellEnd"/>
      <w:r w:rsidRPr="005044FA">
        <w:rPr>
          <w:rFonts w:ascii="Times New Roman" w:hAnsi="Times New Roman" w:cs="Times New Roman"/>
          <w:b/>
          <w:bCs/>
          <w:i/>
          <w:iCs/>
          <w:sz w:val="24"/>
          <w:szCs w:val="24"/>
        </w:rPr>
        <w:t xml:space="preserve"> de </w:t>
      </w:r>
      <w:proofErr w:type="spellStart"/>
      <w:r w:rsidRPr="005044FA">
        <w:rPr>
          <w:rFonts w:ascii="Times New Roman" w:hAnsi="Times New Roman" w:cs="Times New Roman"/>
          <w:b/>
          <w:bCs/>
          <w:i/>
          <w:iCs/>
          <w:sz w:val="24"/>
          <w:szCs w:val="24"/>
        </w:rPr>
        <w:t>Dantzig</w:t>
      </w:r>
      <w:proofErr w:type="spellEnd"/>
      <w:r>
        <w:rPr>
          <w:rFonts w:ascii="Times New Roman" w:hAnsi="Times New Roman" w:cs="Times New Roman"/>
          <w:b/>
          <w:bCs/>
          <w:sz w:val="24"/>
          <w:szCs w:val="24"/>
        </w:rPr>
        <w:t xml:space="preserve"> 1928 (trattato crea diritti ed obblighi solo per gli Stati firmatari)</w:t>
      </w:r>
    </w:p>
    <w:p w14:paraId="700A31D5" w14:textId="77777777" w:rsidR="005044FA" w:rsidRDefault="005044FA" w:rsidP="005044FA">
      <w:pPr>
        <w:jc w:val="both"/>
        <w:rPr>
          <w:rFonts w:ascii="Times New Roman" w:hAnsi="Times New Roman" w:cs="Times New Roman"/>
          <w:b/>
          <w:bCs/>
          <w:sz w:val="24"/>
          <w:szCs w:val="24"/>
        </w:rPr>
      </w:pPr>
      <w:r>
        <w:rPr>
          <w:rFonts w:ascii="Times New Roman" w:hAnsi="Times New Roman" w:cs="Times New Roman"/>
          <w:b/>
          <w:bCs/>
          <w:sz w:val="24"/>
          <w:szCs w:val="24"/>
        </w:rPr>
        <w:t>Carta dell’ONU 1945 divieto di risolvere le controversie ricorrendo all’uso della forza (art. 2) – autorizzazione del Cons. di sicurezza dell’uso della forza (artt. 41-42)</w:t>
      </w:r>
    </w:p>
    <w:p w14:paraId="5226ADB7" w14:textId="77777777" w:rsidR="005044FA" w:rsidRDefault="005044FA" w:rsidP="005044FA">
      <w:pPr>
        <w:jc w:val="both"/>
        <w:rPr>
          <w:rFonts w:ascii="Times New Roman" w:hAnsi="Times New Roman" w:cs="Times New Roman"/>
          <w:b/>
          <w:bCs/>
          <w:sz w:val="24"/>
          <w:szCs w:val="24"/>
        </w:rPr>
      </w:pPr>
      <w:r>
        <w:rPr>
          <w:rFonts w:ascii="Times New Roman" w:hAnsi="Times New Roman" w:cs="Times New Roman"/>
          <w:b/>
          <w:bCs/>
          <w:sz w:val="24"/>
          <w:szCs w:val="24"/>
        </w:rPr>
        <w:t>Convenzione europea dei diritti dell’uomo del 1950</w:t>
      </w:r>
      <w:r w:rsidR="00337FE6">
        <w:rPr>
          <w:rFonts w:ascii="Times New Roman" w:hAnsi="Times New Roman" w:cs="Times New Roman"/>
          <w:b/>
          <w:bCs/>
          <w:sz w:val="24"/>
          <w:szCs w:val="24"/>
        </w:rPr>
        <w:t xml:space="preserve"> (artt. 34 ricorso individuale -35 esaurimento -41 equa soddisfazione)</w:t>
      </w:r>
    </w:p>
    <w:p w14:paraId="30E330B4" w14:textId="77777777" w:rsidR="00337FE6" w:rsidRDefault="00337FE6" w:rsidP="005044FA">
      <w:pPr>
        <w:jc w:val="both"/>
        <w:rPr>
          <w:rFonts w:ascii="Times New Roman" w:hAnsi="Times New Roman" w:cs="Times New Roman"/>
          <w:b/>
          <w:bCs/>
          <w:sz w:val="24"/>
          <w:szCs w:val="24"/>
        </w:rPr>
      </w:pPr>
      <w:r>
        <w:rPr>
          <w:rFonts w:ascii="Times New Roman" w:hAnsi="Times New Roman" w:cs="Times New Roman"/>
          <w:b/>
          <w:bCs/>
          <w:sz w:val="24"/>
          <w:szCs w:val="24"/>
        </w:rPr>
        <w:t>Corte cost. sentenze gemelle 348-349 del 2007 “</w:t>
      </w:r>
      <w:r w:rsidRPr="00337FE6">
        <w:rPr>
          <w:rFonts w:ascii="Times New Roman" w:hAnsi="Times New Roman" w:cs="Times New Roman"/>
          <w:b/>
          <w:bCs/>
          <w:sz w:val="24"/>
          <w:szCs w:val="24"/>
        </w:rPr>
        <w:t>L’art. 10 che sancisce “</w:t>
      </w:r>
      <w:r w:rsidRPr="00337FE6">
        <w:rPr>
          <w:rFonts w:ascii="Times New Roman" w:hAnsi="Times New Roman" w:cs="Times New Roman"/>
          <w:b/>
          <w:bCs/>
          <w:i/>
          <w:iCs/>
          <w:sz w:val="24"/>
          <w:szCs w:val="24"/>
        </w:rPr>
        <w:t xml:space="preserve">l'adeguamento automatico dell'ordinamento interno alle norme di diritto internazionale generalmente riconosciute, concerne esclusivamente i principi generali e le norme di carattere consuetudinario …. mentre non comprende le norme contenute in accordi internazionali che non riproducano </w:t>
      </w:r>
      <w:r w:rsidRPr="00337FE6">
        <w:rPr>
          <w:rFonts w:ascii="Times New Roman" w:hAnsi="Times New Roman" w:cs="Times New Roman"/>
          <w:b/>
          <w:bCs/>
          <w:i/>
          <w:iCs/>
          <w:sz w:val="24"/>
          <w:szCs w:val="24"/>
        </w:rPr>
        <w:lastRenderedPageBreak/>
        <w:t>principi o norme consuetudinarie del diritto internazionale.</w:t>
      </w:r>
      <w:r w:rsidRPr="00337FE6">
        <w:rPr>
          <w:rFonts w:ascii="Times New Roman" w:hAnsi="Times New Roman" w:cs="Times New Roman"/>
          <w:b/>
          <w:bCs/>
          <w:sz w:val="24"/>
          <w:szCs w:val="24"/>
        </w:rPr>
        <w:t xml:space="preserve">” </w:t>
      </w:r>
      <w:r w:rsidRPr="00EA10FD">
        <w:rPr>
          <w:rFonts w:ascii="Times New Roman" w:hAnsi="Times New Roman" w:cs="Times New Roman"/>
          <w:b/>
          <w:bCs/>
          <w:sz w:val="24"/>
          <w:szCs w:val="24"/>
        </w:rPr>
        <w:t>(</w:t>
      </w:r>
      <w:proofErr w:type="spellStart"/>
      <w:r w:rsidRPr="00EA10FD">
        <w:rPr>
          <w:rFonts w:ascii="Times New Roman" w:hAnsi="Times New Roman" w:cs="Times New Roman"/>
          <w:b/>
          <w:bCs/>
          <w:sz w:val="24"/>
          <w:szCs w:val="24"/>
        </w:rPr>
        <w:fldChar w:fldCharType="begin"/>
      </w:r>
      <w:r w:rsidRPr="00EA10FD">
        <w:rPr>
          <w:rFonts w:ascii="Times New Roman" w:hAnsi="Times New Roman" w:cs="Times New Roman"/>
          <w:b/>
          <w:bCs/>
          <w:sz w:val="24"/>
          <w:szCs w:val="24"/>
        </w:rPr>
        <w:instrText xml:space="preserve"> HYPERLINK "http://www.giurcost.org/decisioni/2007/0349s-07.html" </w:instrText>
      </w:r>
      <w:r w:rsidRPr="00EA10FD">
        <w:rPr>
          <w:rFonts w:ascii="Times New Roman" w:hAnsi="Times New Roman" w:cs="Times New Roman"/>
          <w:b/>
          <w:bCs/>
          <w:sz w:val="24"/>
          <w:szCs w:val="24"/>
        </w:rPr>
        <w:fldChar w:fldCharType="separate"/>
      </w:r>
      <w:r w:rsidRPr="00EA10FD">
        <w:rPr>
          <w:rStyle w:val="Collegamentoipertestuale"/>
          <w:rFonts w:ascii="Times New Roman" w:hAnsi="Times New Roman" w:cs="Times New Roman"/>
          <w:b/>
          <w:bCs/>
          <w:color w:val="auto"/>
          <w:sz w:val="24"/>
          <w:szCs w:val="24"/>
          <w:u w:val="none"/>
        </w:rPr>
        <w:t>sent</w:t>
      </w:r>
      <w:proofErr w:type="spellEnd"/>
      <w:r w:rsidRPr="00EA10FD">
        <w:rPr>
          <w:rStyle w:val="Collegamentoipertestuale"/>
          <w:rFonts w:ascii="Times New Roman" w:hAnsi="Times New Roman" w:cs="Times New Roman"/>
          <w:b/>
          <w:bCs/>
          <w:color w:val="auto"/>
          <w:sz w:val="24"/>
          <w:szCs w:val="24"/>
          <w:u w:val="none"/>
        </w:rPr>
        <w:t>. n. 349</w:t>
      </w:r>
      <w:r w:rsidRPr="00EA10FD">
        <w:rPr>
          <w:rFonts w:ascii="Times New Roman" w:hAnsi="Times New Roman" w:cs="Times New Roman"/>
          <w:b/>
          <w:bCs/>
          <w:sz w:val="24"/>
          <w:szCs w:val="24"/>
        </w:rPr>
        <w:fldChar w:fldCharType="end"/>
      </w:r>
      <w:r w:rsidRPr="00EA10FD">
        <w:rPr>
          <w:rFonts w:ascii="Times New Roman" w:hAnsi="Times New Roman" w:cs="Times New Roman"/>
          <w:b/>
          <w:bCs/>
          <w:sz w:val="24"/>
          <w:szCs w:val="24"/>
        </w:rPr>
        <w:t> par. 6.1) “</w:t>
      </w:r>
      <w:r w:rsidRPr="00EA10FD">
        <w:rPr>
          <w:rFonts w:ascii="Times New Roman" w:hAnsi="Times New Roman" w:cs="Times New Roman"/>
          <w:b/>
          <w:bCs/>
          <w:i/>
          <w:iCs/>
          <w:sz w:val="24"/>
          <w:szCs w:val="24"/>
        </w:rPr>
        <w:t>Le norme pattizie, ancorché generali, contenute in trattati internazionali bilaterali o multilaterali, esulano pertanto dalla portata normativa del suddetto art.</w:t>
      </w:r>
      <w:r w:rsidRPr="00EA10FD">
        <w:rPr>
          <w:rFonts w:ascii="Times New Roman" w:hAnsi="Times New Roman" w:cs="Times New Roman"/>
          <w:b/>
          <w:bCs/>
          <w:sz w:val="24"/>
          <w:szCs w:val="24"/>
        </w:rPr>
        <w:t> 10.” (</w:t>
      </w:r>
      <w:proofErr w:type="spellStart"/>
      <w:r w:rsidRPr="00EA10FD">
        <w:rPr>
          <w:rFonts w:ascii="Times New Roman" w:hAnsi="Times New Roman" w:cs="Times New Roman"/>
          <w:b/>
          <w:bCs/>
          <w:sz w:val="24"/>
          <w:szCs w:val="24"/>
        </w:rPr>
        <w:fldChar w:fldCharType="begin"/>
      </w:r>
      <w:r w:rsidRPr="00EA10FD">
        <w:rPr>
          <w:rFonts w:ascii="Times New Roman" w:hAnsi="Times New Roman" w:cs="Times New Roman"/>
          <w:b/>
          <w:bCs/>
          <w:sz w:val="24"/>
          <w:szCs w:val="24"/>
        </w:rPr>
        <w:instrText xml:space="preserve"> HYPERLINK "http://www.giurcost.org/decisioni/2007/0348s-07.html" </w:instrText>
      </w:r>
      <w:r w:rsidRPr="00EA10FD">
        <w:rPr>
          <w:rFonts w:ascii="Times New Roman" w:hAnsi="Times New Roman" w:cs="Times New Roman"/>
          <w:b/>
          <w:bCs/>
          <w:sz w:val="24"/>
          <w:szCs w:val="24"/>
        </w:rPr>
        <w:fldChar w:fldCharType="separate"/>
      </w:r>
      <w:r w:rsidRPr="00EA10FD">
        <w:rPr>
          <w:rStyle w:val="Collegamentoipertestuale"/>
          <w:rFonts w:ascii="Times New Roman" w:hAnsi="Times New Roman" w:cs="Times New Roman"/>
          <w:b/>
          <w:bCs/>
          <w:color w:val="auto"/>
          <w:sz w:val="24"/>
          <w:szCs w:val="24"/>
          <w:u w:val="none"/>
        </w:rPr>
        <w:t>sent</w:t>
      </w:r>
      <w:proofErr w:type="spellEnd"/>
      <w:r w:rsidRPr="00EA10FD">
        <w:rPr>
          <w:rStyle w:val="Collegamentoipertestuale"/>
          <w:rFonts w:ascii="Times New Roman" w:hAnsi="Times New Roman" w:cs="Times New Roman"/>
          <w:b/>
          <w:bCs/>
          <w:color w:val="auto"/>
          <w:sz w:val="24"/>
          <w:szCs w:val="24"/>
          <w:u w:val="none"/>
        </w:rPr>
        <w:t>. n. 348</w:t>
      </w:r>
      <w:r w:rsidRPr="00EA10FD">
        <w:rPr>
          <w:rFonts w:ascii="Times New Roman" w:hAnsi="Times New Roman" w:cs="Times New Roman"/>
          <w:b/>
          <w:bCs/>
          <w:sz w:val="24"/>
          <w:szCs w:val="24"/>
        </w:rPr>
        <w:fldChar w:fldCharType="end"/>
      </w:r>
      <w:r w:rsidRPr="00EA10FD">
        <w:rPr>
          <w:rFonts w:ascii="Times New Roman" w:hAnsi="Times New Roman" w:cs="Times New Roman"/>
          <w:b/>
          <w:bCs/>
          <w:sz w:val="24"/>
          <w:szCs w:val="24"/>
        </w:rPr>
        <w:t> par</w:t>
      </w:r>
      <w:r w:rsidRPr="00337FE6">
        <w:rPr>
          <w:rFonts w:ascii="Times New Roman" w:hAnsi="Times New Roman" w:cs="Times New Roman"/>
          <w:b/>
          <w:bCs/>
          <w:sz w:val="24"/>
          <w:szCs w:val="24"/>
        </w:rPr>
        <w:t>. 3.4)</w:t>
      </w:r>
    </w:p>
    <w:p w14:paraId="16D04076" w14:textId="77777777" w:rsidR="00337FE6" w:rsidRDefault="00337FE6" w:rsidP="005044FA">
      <w:pPr>
        <w:jc w:val="both"/>
        <w:rPr>
          <w:rFonts w:ascii="Times New Roman" w:hAnsi="Times New Roman" w:cs="Times New Roman"/>
          <w:b/>
          <w:bCs/>
          <w:sz w:val="24"/>
          <w:szCs w:val="24"/>
        </w:rPr>
      </w:pPr>
      <w:r>
        <w:rPr>
          <w:rFonts w:ascii="Times New Roman" w:hAnsi="Times New Roman" w:cs="Times New Roman"/>
          <w:b/>
          <w:bCs/>
          <w:sz w:val="24"/>
          <w:szCs w:val="24"/>
        </w:rPr>
        <w:t>Artt. 6-13 (diritto equo processo -effettività dei rimedi)</w:t>
      </w:r>
      <w:r w:rsidR="00EA10FD">
        <w:rPr>
          <w:rFonts w:ascii="Times New Roman" w:hAnsi="Times New Roman" w:cs="Times New Roman"/>
          <w:b/>
          <w:bCs/>
          <w:sz w:val="24"/>
          <w:szCs w:val="24"/>
        </w:rPr>
        <w:t xml:space="preserve"> caso </w:t>
      </w:r>
      <w:r w:rsidR="00EA10FD" w:rsidRPr="00EA10FD">
        <w:rPr>
          <w:rFonts w:ascii="Times New Roman" w:hAnsi="Times New Roman" w:cs="Times New Roman"/>
          <w:b/>
          <w:bCs/>
          <w:i/>
          <w:iCs/>
          <w:sz w:val="24"/>
          <w:szCs w:val="24"/>
        </w:rPr>
        <w:t>Schipani</w:t>
      </w:r>
      <w:r w:rsidR="00EA10FD">
        <w:rPr>
          <w:rFonts w:ascii="Times New Roman" w:hAnsi="Times New Roman" w:cs="Times New Roman"/>
          <w:b/>
          <w:bCs/>
          <w:sz w:val="24"/>
          <w:szCs w:val="24"/>
        </w:rPr>
        <w:t xml:space="preserve"> 2015</w:t>
      </w:r>
    </w:p>
    <w:p w14:paraId="4E45A4E4" w14:textId="77777777" w:rsidR="00337FE6" w:rsidRDefault="00337FE6" w:rsidP="005044FA">
      <w:pPr>
        <w:jc w:val="both"/>
        <w:rPr>
          <w:rFonts w:ascii="Times New Roman" w:hAnsi="Times New Roman" w:cs="Times New Roman"/>
          <w:b/>
          <w:bCs/>
          <w:sz w:val="24"/>
          <w:szCs w:val="24"/>
        </w:rPr>
      </w:pPr>
      <w:r>
        <w:rPr>
          <w:rFonts w:ascii="Times New Roman" w:hAnsi="Times New Roman" w:cs="Times New Roman"/>
          <w:b/>
          <w:bCs/>
          <w:sz w:val="24"/>
          <w:szCs w:val="24"/>
        </w:rPr>
        <w:t xml:space="preserve">Protocollo 1 sulla proprietà (caso </w:t>
      </w:r>
      <w:r w:rsidRPr="00EA10FD">
        <w:rPr>
          <w:rFonts w:ascii="Times New Roman" w:hAnsi="Times New Roman" w:cs="Times New Roman"/>
          <w:b/>
          <w:bCs/>
          <w:i/>
          <w:iCs/>
          <w:sz w:val="24"/>
          <w:szCs w:val="24"/>
        </w:rPr>
        <w:t xml:space="preserve">Scordino </w:t>
      </w:r>
      <w:r>
        <w:rPr>
          <w:rFonts w:ascii="Times New Roman" w:hAnsi="Times New Roman" w:cs="Times New Roman"/>
          <w:b/>
          <w:bCs/>
          <w:sz w:val="24"/>
          <w:szCs w:val="24"/>
        </w:rPr>
        <w:t>del 2006)</w:t>
      </w:r>
    </w:p>
    <w:p w14:paraId="60D3973E" w14:textId="77777777" w:rsidR="00337FE6" w:rsidRDefault="00337FE6" w:rsidP="005044FA">
      <w:pPr>
        <w:jc w:val="both"/>
        <w:rPr>
          <w:rFonts w:ascii="Times New Roman" w:hAnsi="Times New Roman" w:cs="Times New Roman"/>
          <w:b/>
          <w:bCs/>
          <w:sz w:val="24"/>
          <w:szCs w:val="24"/>
        </w:rPr>
      </w:pPr>
      <w:r>
        <w:rPr>
          <w:rFonts w:ascii="Times New Roman" w:hAnsi="Times New Roman" w:cs="Times New Roman"/>
          <w:b/>
          <w:bCs/>
          <w:sz w:val="24"/>
          <w:szCs w:val="24"/>
        </w:rPr>
        <w:t xml:space="preserve">Art. 9: </w:t>
      </w:r>
      <w:proofErr w:type="spellStart"/>
      <w:r w:rsidRPr="00337FE6">
        <w:rPr>
          <w:rFonts w:ascii="Times New Roman" w:hAnsi="Times New Roman" w:cs="Times New Roman"/>
          <w:b/>
          <w:bCs/>
          <w:sz w:val="24"/>
          <w:szCs w:val="24"/>
        </w:rPr>
        <w:t>liberta'</w:t>
      </w:r>
      <w:proofErr w:type="spellEnd"/>
      <w:r w:rsidRPr="00337FE6">
        <w:rPr>
          <w:rFonts w:ascii="Times New Roman" w:hAnsi="Times New Roman" w:cs="Times New Roman"/>
          <w:b/>
          <w:bCs/>
          <w:sz w:val="24"/>
          <w:szCs w:val="24"/>
        </w:rPr>
        <w:t xml:space="preserve"> di pensiero, convinzione e di religione </w:t>
      </w:r>
      <w:r>
        <w:rPr>
          <w:rFonts w:ascii="Times New Roman" w:hAnsi="Times New Roman" w:cs="Times New Roman"/>
          <w:b/>
          <w:bCs/>
          <w:sz w:val="24"/>
          <w:szCs w:val="24"/>
        </w:rPr>
        <w:t xml:space="preserve"> (caso </w:t>
      </w:r>
      <w:proofErr w:type="spellStart"/>
      <w:r w:rsidRPr="00EA10FD">
        <w:rPr>
          <w:rFonts w:ascii="Times New Roman" w:hAnsi="Times New Roman" w:cs="Times New Roman"/>
          <w:b/>
          <w:bCs/>
          <w:i/>
          <w:iCs/>
          <w:sz w:val="24"/>
          <w:szCs w:val="24"/>
        </w:rPr>
        <w:t>Lautsi</w:t>
      </w:r>
      <w:proofErr w:type="spellEnd"/>
      <w:r w:rsidRPr="00EA10FD">
        <w:rPr>
          <w:rFonts w:ascii="Times New Roman" w:hAnsi="Times New Roman" w:cs="Times New Roman"/>
          <w:b/>
          <w:bCs/>
          <w:i/>
          <w:iCs/>
          <w:sz w:val="24"/>
          <w:szCs w:val="24"/>
        </w:rPr>
        <w:t xml:space="preserve"> </w:t>
      </w:r>
      <w:r>
        <w:rPr>
          <w:rFonts w:ascii="Times New Roman" w:hAnsi="Times New Roman" w:cs="Times New Roman"/>
          <w:b/>
          <w:bCs/>
          <w:sz w:val="24"/>
          <w:szCs w:val="24"/>
        </w:rPr>
        <w:t>e altri c/ Italia</w:t>
      </w:r>
      <w:r w:rsidR="00EA10FD">
        <w:rPr>
          <w:rFonts w:ascii="Times New Roman" w:hAnsi="Times New Roman" w:cs="Times New Roman"/>
          <w:b/>
          <w:bCs/>
          <w:sz w:val="24"/>
          <w:szCs w:val="24"/>
        </w:rPr>
        <w:t xml:space="preserve"> del 2011</w:t>
      </w:r>
      <w:r>
        <w:rPr>
          <w:rFonts w:ascii="Times New Roman" w:hAnsi="Times New Roman" w:cs="Times New Roman"/>
          <w:b/>
          <w:bCs/>
          <w:sz w:val="24"/>
          <w:szCs w:val="24"/>
        </w:rPr>
        <w:t>)</w:t>
      </w:r>
    </w:p>
    <w:p w14:paraId="305E0C40" w14:textId="77777777" w:rsidR="00EA10FD" w:rsidRPr="00EA10FD" w:rsidRDefault="00EA10FD" w:rsidP="00EA10FD">
      <w:pPr>
        <w:jc w:val="both"/>
        <w:rPr>
          <w:rFonts w:ascii="Times New Roman" w:hAnsi="Times New Roman" w:cs="Times New Roman"/>
          <w:b/>
          <w:bCs/>
          <w:sz w:val="24"/>
          <w:szCs w:val="24"/>
        </w:rPr>
      </w:pPr>
      <w:r w:rsidRPr="00EA10FD">
        <w:rPr>
          <w:rFonts w:ascii="Times New Roman" w:hAnsi="Times New Roman" w:cs="Times New Roman"/>
          <w:b/>
          <w:bCs/>
          <w:sz w:val="24"/>
          <w:szCs w:val="24"/>
        </w:rPr>
        <w:t xml:space="preserve">dell’art. </w:t>
      </w:r>
      <w:r>
        <w:rPr>
          <w:rFonts w:ascii="Times New Roman" w:hAnsi="Times New Roman" w:cs="Times New Roman"/>
          <w:b/>
          <w:bCs/>
          <w:sz w:val="24"/>
          <w:szCs w:val="24"/>
        </w:rPr>
        <w:t xml:space="preserve">8: </w:t>
      </w:r>
      <w:r w:rsidRPr="00EA10FD">
        <w:rPr>
          <w:rFonts w:ascii="Times New Roman" w:hAnsi="Times New Roman" w:cs="Times New Roman"/>
          <w:b/>
          <w:bCs/>
          <w:sz w:val="24"/>
          <w:szCs w:val="24"/>
        </w:rPr>
        <w:t xml:space="preserve">caso </w:t>
      </w:r>
      <w:r w:rsidRPr="00EA10FD">
        <w:rPr>
          <w:rFonts w:ascii="Times New Roman" w:hAnsi="Times New Roman" w:cs="Times New Roman"/>
          <w:b/>
          <w:bCs/>
          <w:i/>
          <w:iCs/>
          <w:sz w:val="24"/>
          <w:szCs w:val="24"/>
        </w:rPr>
        <w:t>Oliari e a. contro Italia</w:t>
      </w:r>
      <w:r>
        <w:rPr>
          <w:rFonts w:ascii="Times New Roman" w:hAnsi="Times New Roman" w:cs="Times New Roman"/>
          <w:b/>
          <w:bCs/>
          <w:sz w:val="24"/>
          <w:szCs w:val="24"/>
        </w:rPr>
        <w:t xml:space="preserve"> (</w:t>
      </w:r>
      <w:proofErr w:type="spellStart"/>
      <w:r w:rsidRPr="00EA10FD">
        <w:rPr>
          <w:rFonts w:ascii="Times New Roman" w:hAnsi="Times New Roman" w:cs="Times New Roman"/>
          <w:b/>
          <w:bCs/>
          <w:i/>
          <w:iCs/>
          <w:sz w:val="24"/>
          <w:szCs w:val="24"/>
        </w:rPr>
        <w:t>same</w:t>
      </w:r>
      <w:proofErr w:type="spellEnd"/>
      <w:r w:rsidRPr="00EA10FD">
        <w:rPr>
          <w:rFonts w:ascii="Times New Roman" w:hAnsi="Times New Roman" w:cs="Times New Roman"/>
          <w:b/>
          <w:bCs/>
          <w:i/>
          <w:iCs/>
          <w:sz w:val="24"/>
          <w:szCs w:val="24"/>
        </w:rPr>
        <w:t xml:space="preserve"> sex </w:t>
      </w:r>
      <w:proofErr w:type="spellStart"/>
      <w:r w:rsidRPr="00EA10FD">
        <w:rPr>
          <w:rFonts w:ascii="Times New Roman" w:hAnsi="Times New Roman" w:cs="Times New Roman"/>
          <w:b/>
          <w:bCs/>
          <w:i/>
          <w:iCs/>
          <w:sz w:val="24"/>
          <w:szCs w:val="24"/>
        </w:rPr>
        <w:t>marriages</w:t>
      </w:r>
      <w:proofErr w:type="spellEnd"/>
      <w:r>
        <w:rPr>
          <w:rFonts w:ascii="Times New Roman" w:hAnsi="Times New Roman" w:cs="Times New Roman"/>
          <w:b/>
          <w:bCs/>
          <w:sz w:val="24"/>
          <w:szCs w:val="24"/>
        </w:rPr>
        <w:t>) del 2015</w:t>
      </w:r>
    </w:p>
    <w:p w14:paraId="2308CE37" w14:textId="77777777" w:rsidR="00EA10FD" w:rsidRDefault="00EA10FD" w:rsidP="00EA10FD">
      <w:pPr>
        <w:jc w:val="both"/>
        <w:rPr>
          <w:rFonts w:ascii="Times New Roman" w:hAnsi="Times New Roman" w:cs="Times New Roman"/>
          <w:b/>
          <w:bCs/>
          <w:sz w:val="24"/>
          <w:szCs w:val="24"/>
        </w:rPr>
      </w:pPr>
      <w:r>
        <w:rPr>
          <w:rFonts w:ascii="Times New Roman" w:hAnsi="Times New Roman" w:cs="Times New Roman"/>
          <w:b/>
          <w:bCs/>
          <w:sz w:val="24"/>
          <w:szCs w:val="24"/>
        </w:rPr>
        <w:t>Sotto il profilo del cd. adattamento, teorie monistiche e dualistiche nei rapporti fra il diritto interno e il diritto internazionale – primato del diritto internazionale ? bilanciamento</w:t>
      </w:r>
    </w:p>
    <w:p w14:paraId="23DBDB17" w14:textId="77777777" w:rsidR="00EA10FD" w:rsidRDefault="00EA10FD" w:rsidP="00EA10FD">
      <w:pPr>
        <w:jc w:val="both"/>
        <w:rPr>
          <w:rFonts w:ascii="Times New Roman" w:hAnsi="Times New Roman" w:cs="Times New Roman"/>
          <w:b/>
          <w:bCs/>
          <w:sz w:val="24"/>
          <w:szCs w:val="24"/>
        </w:rPr>
      </w:pPr>
      <w:r>
        <w:rPr>
          <w:rFonts w:ascii="Times New Roman" w:hAnsi="Times New Roman" w:cs="Times New Roman"/>
          <w:b/>
          <w:bCs/>
          <w:sz w:val="24"/>
          <w:szCs w:val="24"/>
        </w:rPr>
        <w:t>Corte cost. 348-349/2007</w:t>
      </w:r>
    </w:p>
    <w:p w14:paraId="4470C34B" w14:textId="77777777" w:rsidR="00EA10FD" w:rsidRDefault="00EA10FD" w:rsidP="00EA10FD">
      <w:pPr>
        <w:jc w:val="both"/>
        <w:rPr>
          <w:rFonts w:ascii="Times New Roman" w:hAnsi="Times New Roman" w:cs="Times New Roman"/>
          <w:b/>
          <w:bCs/>
          <w:sz w:val="24"/>
          <w:szCs w:val="24"/>
        </w:rPr>
      </w:pPr>
      <w:r>
        <w:rPr>
          <w:rFonts w:ascii="Times New Roman" w:hAnsi="Times New Roman" w:cs="Times New Roman"/>
          <w:b/>
          <w:bCs/>
          <w:sz w:val="24"/>
          <w:szCs w:val="24"/>
        </w:rPr>
        <w:t xml:space="preserve">Corte cost. 238/2014 (una sorta di </w:t>
      </w:r>
      <w:proofErr w:type="spellStart"/>
      <w:r>
        <w:rPr>
          <w:rFonts w:ascii="Times New Roman" w:hAnsi="Times New Roman" w:cs="Times New Roman"/>
          <w:b/>
          <w:bCs/>
          <w:sz w:val="24"/>
          <w:szCs w:val="24"/>
        </w:rPr>
        <w:t>Kadi</w:t>
      </w:r>
      <w:proofErr w:type="spellEnd"/>
      <w:r>
        <w:rPr>
          <w:rFonts w:ascii="Times New Roman" w:hAnsi="Times New Roman" w:cs="Times New Roman"/>
          <w:b/>
          <w:bCs/>
          <w:sz w:val="24"/>
          <w:szCs w:val="24"/>
        </w:rPr>
        <w:t xml:space="preserve"> all’italiana) controlimiti sacrificio totale del diritto in contrasto con i diritti fondamentali irrinunciabili di cui agli artt. 2 e 24 Cost.</w:t>
      </w:r>
    </w:p>
    <w:p w14:paraId="3500E818" w14:textId="66AEB1BB" w:rsidR="00EA10FD" w:rsidRPr="005044FA" w:rsidRDefault="00597A81" w:rsidP="00EA10FD">
      <w:pPr>
        <w:jc w:val="both"/>
        <w:rPr>
          <w:rFonts w:ascii="Times New Roman" w:hAnsi="Times New Roman" w:cs="Times New Roman"/>
          <w:b/>
          <w:bCs/>
          <w:sz w:val="24"/>
          <w:szCs w:val="24"/>
        </w:rPr>
      </w:pPr>
      <w:r>
        <w:rPr>
          <w:rFonts w:ascii="Times New Roman" w:hAnsi="Times New Roman" w:cs="Times New Roman"/>
          <w:b/>
          <w:bCs/>
          <w:sz w:val="24"/>
          <w:szCs w:val="24"/>
        </w:rPr>
        <w:t>Artt. 10-11-117 Cost.</w:t>
      </w:r>
    </w:p>
    <w:p w14:paraId="13A9904F" w14:textId="77777777" w:rsidR="00E34A62" w:rsidRPr="00E34A62" w:rsidRDefault="00E34A62" w:rsidP="00E34A62">
      <w:pPr>
        <w:rPr>
          <w:rFonts w:ascii="Times New Roman" w:hAnsi="Times New Roman" w:cs="Times New Roman"/>
          <w:b/>
          <w:bCs/>
          <w:sz w:val="24"/>
          <w:szCs w:val="24"/>
        </w:rPr>
      </w:pPr>
      <w:r w:rsidRPr="00E34A62">
        <w:rPr>
          <w:rFonts w:ascii="Times New Roman" w:hAnsi="Times New Roman" w:cs="Times New Roman"/>
          <w:b/>
          <w:bCs/>
          <w:sz w:val="24"/>
          <w:szCs w:val="24"/>
        </w:rPr>
        <w:t>Sentenza 84/2021 (ECLI:IT:COST:2021:84)</w:t>
      </w:r>
    </w:p>
    <w:p w14:paraId="6B11F539" w14:textId="77777777" w:rsidR="00E34A62" w:rsidRPr="00E34A62" w:rsidRDefault="00E34A62" w:rsidP="00E34A62">
      <w:pPr>
        <w:rPr>
          <w:rFonts w:ascii="Times New Roman" w:hAnsi="Times New Roman" w:cs="Times New Roman"/>
          <w:b/>
          <w:bCs/>
          <w:sz w:val="24"/>
          <w:szCs w:val="24"/>
        </w:rPr>
      </w:pPr>
      <w:r w:rsidRPr="00E34A62">
        <w:rPr>
          <w:rFonts w:ascii="Times New Roman" w:hAnsi="Times New Roman" w:cs="Times New Roman"/>
          <w:b/>
          <w:bCs/>
          <w:sz w:val="24"/>
          <w:szCs w:val="24"/>
        </w:rPr>
        <w:t>Giudizio: GIUDIZIO DI LEGITTIMITÀ COSTITUZIONALE IN VIA INCIDENTALE</w:t>
      </w:r>
    </w:p>
    <w:p w14:paraId="7ED49E02" w14:textId="00027C24" w:rsidR="00AB0980" w:rsidRDefault="00E34A62" w:rsidP="008F666C">
      <w:pPr>
        <w:rPr>
          <w:rFonts w:ascii="Times New Roman" w:hAnsi="Times New Roman" w:cs="Times New Roman"/>
          <w:b/>
          <w:bCs/>
          <w:sz w:val="24"/>
          <w:szCs w:val="24"/>
        </w:rPr>
      </w:pPr>
      <w:r w:rsidRPr="00E34A62">
        <w:rPr>
          <w:rFonts w:ascii="Times New Roman" w:hAnsi="Times New Roman" w:cs="Times New Roman"/>
          <w:b/>
          <w:bCs/>
          <w:sz w:val="24"/>
          <w:szCs w:val="24"/>
        </w:rPr>
        <w:t>Presidente: CORAGGIO - Redattore: VIGANÒ</w:t>
      </w:r>
    </w:p>
    <w:p w14:paraId="225649DA" w14:textId="77777777" w:rsidR="00A0281D" w:rsidRPr="00A0281D" w:rsidRDefault="00A0281D" w:rsidP="00A0281D">
      <w:pPr>
        <w:rPr>
          <w:rFonts w:ascii="Times New Roman" w:hAnsi="Times New Roman" w:cs="Times New Roman"/>
          <w:b/>
          <w:bCs/>
          <w:sz w:val="24"/>
          <w:szCs w:val="24"/>
        </w:rPr>
      </w:pPr>
      <w:r w:rsidRPr="00A0281D">
        <w:rPr>
          <w:rFonts w:ascii="Times New Roman" w:hAnsi="Times New Roman" w:cs="Times New Roman"/>
          <w:b/>
          <w:bCs/>
          <w:sz w:val="24"/>
          <w:szCs w:val="24"/>
        </w:rPr>
        <w:t>LA CORTE COSTITUZIONALE</w:t>
      </w:r>
    </w:p>
    <w:p w14:paraId="635BE5EB" w14:textId="77777777" w:rsidR="00A0281D" w:rsidRPr="00A0281D" w:rsidRDefault="00A0281D" w:rsidP="00E34A62">
      <w:pPr>
        <w:jc w:val="both"/>
        <w:rPr>
          <w:rFonts w:ascii="Times New Roman" w:hAnsi="Times New Roman" w:cs="Times New Roman"/>
          <w:b/>
          <w:bCs/>
          <w:sz w:val="24"/>
          <w:szCs w:val="24"/>
        </w:rPr>
      </w:pPr>
      <w:r w:rsidRPr="00A0281D">
        <w:rPr>
          <w:rFonts w:ascii="Times New Roman" w:hAnsi="Times New Roman" w:cs="Times New Roman"/>
          <w:b/>
          <w:bCs/>
          <w:sz w:val="24"/>
          <w:szCs w:val="24"/>
        </w:rPr>
        <w:t>1) dichiara l’illegittimità costituzionale dell’art. 187-quinquiesdecies del decreto legislativo 24 febbraio 1998, n. 58 (Testo unico delle disposizioni in materia di intermediazione finanziaria, ai sensi degli articoli 8 e 21 della legge 6 febbraio 1996, n. 52), nel testo originariamente introdotto dall’art. 9, comma 2, lettera b), della legge 18 aprile 2005, n. 62 (Disposizioni per l’adempimento di obblighi derivanti dall’appartenenza dell’Italia alle Comunità europee. Legge comunitaria 2004), nella parte in cui si applica anche alla persona fisica che si sia rifiutata di fornire alla CONSOB risposte che possano far emergere la sua responsabilità per un illecito passibile di sanzioni amministrative di carattere punitivo, ovvero per un reato;</w:t>
      </w:r>
    </w:p>
    <w:p w14:paraId="57904B46" w14:textId="77777777" w:rsidR="00A0281D" w:rsidRPr="00A0281D" w:rsidRDefault="00A0281D" w:rsidP="00E34A62">
      <w:pPr>
        <w:jc w:val="both"/>
        <w:rPr>
          <w:rFonts w:ascii="Times New Roman" w:hAnsi="Times New Roman" w:cs="Times New Roman"/>
          <w:b/>
          <w:bCs/>
          <w:sz w:val="24"/>
          <w:szCs w:val="24"/>
        </w:rPr>
      </w:pPr>
      <w:r w:rsidRPr="00A0281D">
        <w:rPr>
          <w:rFonts w:ascii="Times New Roman" w:hAnsi="Times New Roman" w:cs="Times New Roman"/>
          <w:b/>
          <w:bCs/>
          <w:sz w:val="24"/>
          <w:szCs w:val="24"/>
        </w:rPr>
        <w:t>2) dichiara, in via consequenziale, ai sensi dell’art. 27 della legge 11 marzo 1953, n. 87 (Norme sulla costituzione e sul funzionamento della Corte costituzionale), l’illegittimità costituzionale dell’art. 187-quinquiesdecies del d.lgs. n. 58 del 1998, nel testo modificato dall’art. 24, comma 1, lettera c), del decreto-legge 18 ottobre 2012, n. 179 (Ulteriori misure urgenti per la crescita del Paese), convertito, con modificazioni, nella legge 17 dicembre 2012, n. 221, nella parte in cui si applica anche alla persona fisica che si sia rifiutata di fornire alla Banca d’Italia o alla CONSOB risposte che possano far emergere la sua responsabilità per un illecito passibile di sanzioni amministrative di carattere punitivo, ovvero per un reato;</w:t>
      </w:r>
    </w:p>
    <w:p w14:paraId="55A4B3A4" w14:textId="77777777" w:rsidR="00A0281D" w:rsidRPr="00A0281D" w:rsidRDefault="00A0281D" w:rsidP="00E34A62">
      <w:pPr>
        <w:jc w:val="both"/>
        <w:rPr>
          <w:rFonts w:ascii="Times New Roman" w:hAnsi="Times New Roman" w:cs="Times New Roman"/>
          <w:b/>
          <w:bCs/>
          <w:sz w:val="24"/>
          <w:szCs w:val="24"/>
        </w:rPr>
      </w:pPr>
      <w:r w:rsidRPr="00A0281D">
        <w:rPr>
          <w:rFonts w:ascii="Times New Roman" w:hAnsi="Times New Roman" w:cs="Times New Roman"/>
          <w:b/>
          <w:bCs/>
          <w:sz w:val="24"/>
          <w:szCs w:val="24"/>
        </w:rPr>
        <w:t xml:space="preserve">3) dichiara, in via consequenziale, ai sensi dell’art. 27 della legge n. 87 del 1953, l’illegittimità costituzionale dell’art. 187-quinquiesdecies del d.lgs. n. 58 del 1998, nel testo modificato dall’art. 5, comma 3, del decreto legislativo 3 agosto 2017, n. 129, recante «Attuazione della direttiva 2014/65/UE del Parlamento europeo e del Consiglio, del 15 maggio 2014, relativa ai mercati degli strumenti finanziari e che modifica la direttiva 2002/92/CE e la direttiva 2011/61/UE, così, come modificata dalla direttiva 2016/1034/UE del Parlamento europeo e del </w:t>
      </w:r>
      <w:r w:rsidRPr="00A0281D">
        <w:rPr>
          <w:rFonts w:ascii="Times New Roman" w:hAnsi="Times New Roman" w:cs="Times New Roman"/>
          <w:b/>
          <w:bCs/>
          <w:sz w:val="24"/>
          <w:szCs w:val="24"/>
        </w:rPr>
        <w:lastRenderedPageBreak/>
        <w:t>Consiglio, del 23 giugno 2016, e di adeguamento della normativa nazionale alle disposizioni del regolamento (UE) n. 600/2014 del Parlamento europeo e del Consiglio, del 15 maggio 2014, sui mercati degli strumenti finanziari e che modifica il regolamento (UE) n. 648/2012, così come modificato dal regolamento (UE) 2016/1033 del Parlamento europeo e del Consiglio, del 23 giugno 2016», nella parte in cui si applica anche alla persona fisica che si sia rifiutata di fornire alla Banca d’Italia o alla CONSOB risposte che possano far emergere la sua responsabilità per un illecito passibile di sanzioni amministrative di carattere punitivo, ovvero per un reato.</w:t>
      </w:r>
    </w:p>
    <w:p w14:paraId="2A8C740B" w14:textId="77777777" w:rsidR="00A0281D" w:rsidRPr="00A0281D" w:rsidRDefault="00A0281D" w:rsidP="00E34A62">
      <w:pPr>
        <w:jc w:val="both"/>
        <w:rPr>
          <w:rFonts w:ascii="Times New Roman" w:hAnsi="Times New Roman" w:cs="Times New Roman"/>
          <w:b/>
          <w:bCs/>
          <w:sz w:val="24"/>
          <w:szCs w:val="24"/>
        </w:rPr>
      </w:pPr>
      <w:r w:rsidRPr="00A0281D">
        <w:rPr>
          <w:rFonts w:ascii="Times New Roman" w:hAnsi="Times New Roman" w:cs="Times New Roman"/>
          <w:b/>
          <w:bCs/>
          <w:sz w:val="24"/>
          <w:szCs w:val="24"/>
        </w:rPr>
        <w:t>Così deciso in Roma, nella sede della Corte costituzionale, Palazzo della Consulta, il 13 aprile 2021.</w:t>
      </w:r>
    </w:p>
    <w:p w14:paraId="3DBEA2E5" w14:textId="77777777" w:rsidR="00AB0980" w:rsidRDefault="00AB0980" w:rsidP="008F666C">
      <w:pPr>
        <w:rPr>
          <w:rFonts w:ascii="Times New Roman" w:hAnsi="Times New Roman" w:cs="Times New Roman"/>
          <w:b/>
          <w:bCs/>
          <w:sz w:val="24"/>
          <w:szCs w:val="24"/>
        </w:rPr>
      </w:pPr>
    </w:p>
    <w:p w14:paraId="557C01E2" w14:textId="77777777" w:rsidR="00AB0980" w:rsidRDefault="00AB0980" w:rsidP="008F666C">
      <w:pPr>
        <w:rPr>
          <w:rFonts w:ascii="Times New Roman" w:hAnsi="Times New Roman" w:cs="Times New Roman"/>
          <w:b/>
          <w:bCs/>
          <w:sz w:val="24"/>
          <w:szCs w:val="24"/>
        </w:rPr>
      </w:pPr>
    </w:p>
    <w:p w14:paraId="11611B03" w14:textId="77777777" w:rsidR="00AB0980" w:rsidRDefault="00AB0980" w:rsidP="008F666C">
      <w:pPr>
        <w:rPr>
          <w:rFonts w:ascii="Times New Roman" w:hAnsi="Times New Roman" w:cs="Times New Roman"/>
          <w:b/>
          <w:bCs/>
          <w:sz w:val="24"/>
          <w:szCs w:val="24"/>
        </w:rPr>
      </w:pPr>
    </w:p>
    <w:p w14:paraId="555608BF" w14:textId="77777777" w:rsidR="00AB0980" w:rsidRDefault="00AB0980" w:rsidP="008F666C">
      <w:pPr>
        <w:rPr>
          <w:rFonts w:ascii="Times New Roman" w:hAnsi="Times New Roman" w:cs="Times New Roman"/>
          <w:b/>
          <w:bCs/>
          <w:sz w:val="24"/>
          <w:szCs w:val="24"/>
        </w:rPr>
      </w:pPr>
    </w:p>
    <w:p w14:paraId="609A6C3D" w14:textId="77777777" w:rsidR="00AB0980" w:rsidRDefault="00AB0980" w:rsidP="008F666C">
      <w:pPr>
        <w:rPr>
          <w:rFonts w:ascii="Times New Roman" w:hAnsi="Times New Roman" w:cs="Times New Roman"/>
          <w:b/>
          <w:bCs/>
          <w:sz w:val="24"/>
          <w:szCs w:val="24"/>
        </w:rPr>
      </w:pPr>
    </w:p>
    <w:p w14:paraId="1F374CBC" w14:textId="77777777" w:rsidR="00AB0980" w:rsidRDefault="00AB0980" w:rsidP="008F666C">
      <w:pPr>
        <w:rPr>
          <w:rFonts w:ascii="Times New Roman" w:hAnsi="Times New Roman" w:cs="Times New Roman"/>
          <w:b/>
          <w:bCs/>
          <w:sz w:val="24"/>
          <w:szCs w:val="24"/>
        </w:rPr>
      </w:pPr>
    </w:p>
    <w:p w14:paraId="27878358" w14:textId="77777777" w:rsidR="00AB0980" w:rsidRDefault="00AB0980" w:rsidP="008F666C">
      <w:pPr>
        <w:rPr>
          <w:rFonts w:ascii="Times New Roman" w:hAnsi="Times New Roman" w:cs="Times New Roman"/>
          <w:b/>
          <w:bCs/>
          <w:sz w:val="24"/>
          <w:szCs w:val="24"/>
        </w:rPr>
      </w:pPr>
    </w:p>
    <w:p w14:paraId="14C67F8B" w14:textId="77777777" w:rsidR="00AB0980" w:rsidRDefault="00AB0980" w:rsidP="008F666C">
      <w:pPr>
        <w:rPr>
          <w:rFonts w:ascii="Times New Roman" w:hAnsi="Times New Roman" w:cs="Times New Roman"/>
          <w:b/>
          <w:bCs/>
          <w:sz w:val="24"/>
          <w:szCs w:val="24"/>
        </w:rPr>
      </w:pPr>
    </w:p>
    <w:p w14:paraId="1E17B04B" w14:textId="77777777" w:rsidR="00AB0980" w:rsidRDefault="00AB0980" w:rsidP="008F666C">
      <w:pPr>
        <w:rPr>
          <w:rFonts w:ascii="Times New Roman" w:hAnsi="Times New Roman" w:cs="Times New Roman"/>
          <w:b/>
          <w:bCs/>
          <w:sz w:val="24"/>
          <w:szCs w:val="24"/>
        </w:rPr>
      </w:pPr>
    </w:p>
    <w:p w14:paraId="0DD2FAF3" w14:textId="77777777" w:rsidR="00AB0980" w:rsidRDefault="00AB0980" w:rsidP="008F666C">
      <w:pPr>
        <w:rPr>
          <w:rFonts w:ascii="Times New Roman" w:hAnsi="Times New Roman" w:cs="Times New Roman"/>
          <w:b/>
          <w:bCs/>
          <w:sz w:val="24"/>
          <w:szCs w:val="24"/>
        </w:rPr>
      </w:pPr>
    </w:p>
    <w:p w14:paraId="71F1FD9D" w14:textId="77777777" w:rsidR="00AB0980" w:rsidRDefault="00AB0980" w:rsidP="008F666C">
      <w:pPr>
        <w:rPr>
          <w:rFonts w:ascii="Times New Roman" w:hAnsi="Times New Roman" w:cs="Times New Roman"/>
          <w:b/>
          <w:bCs/>
          <w:sz w:val="24"/>
          <w:szCs w:val="24"/>
        </w:rPr>
      </w:pPr>
    </w:p>
    <w:p w14:paraId="6B9B58DC" w14:textId="77777777" w:rsidR="00AB0980" w:rsidRDefault="00AB0980" w:rsidP="008F666C">
      <w:pPr>
        <w:rPr>
          <w:rFonts w:ascii="Times New Roman" w:hAnsi="Times New Roman" w:cs="Times New Roman"/>
          <w:b/>
          <w:bCs/>
          <w:sz w:val="24"/>
          <w:szCs w:val="24"/>
        </w:rPr>
      </w:pPr>
    </w:p>
    <w:p w14:paraId="41ACCE42" w14:textId="77777777" w:rsidR="00AB0980" w:rsidRDefault="00AB0980" w:rsidP="008F666C">
      <w:pPr>
        <w:rPr>
          <w:rFonts w:ascii="Times New Roman" w:hAnsi="Times New Roman" w:cs="Times New Roman"/>
          <w:b/>
          <w:bCs/>
          <w:sz w:val="24"/>
          <w:szCs w:val="24"/>
        </w:rPr>
      </w:pPr>
    </w:p>
    <w:p w14:paraId="1D7187D4" w14:textId="77777777" w:rsidR="00AB0980" w:rsidRDefault="00AB0980" w:rsidP="008F666C">
      <w:pPr>
        <w:rPr>
          <w:rFonts w:ascii="Times New Roman" w:hAnsi="Times New Roman" w:cs="Times New Roman"/>
          <w:b/>
          <w:bCs/>
          <w:sz w:val="24"/>
          <w:szCs w:val="24"/>
        </w:rPr>
      </w:pPr>
    </w:p>
    <w:p w14:paraId="27749F4B" w14:textId="77777777" w:rsidR="00AB0980" w:rsidRDefault="00AB0980" w:rsidP="008F666C">
      <w:pPr>
        <w:rPr>
          <w:rFonts w:ascii="Times New Roman" w:hAnsi="Times New Roman" w:cs="Times New Roman"/>
          <w:b/>
          <w:bCs/>
          <w:sz w:val="24"/>
          <w:szCs w:val="24"/>
        </w:rPr>
      </w:pPr>
    </w:p>
    <w:p w14:paraId="400FBA77" w14:textId="77777777" w:rsidR="00AB0980" w:rsidRDefault="00AB0980" w:rsidP="008F666C">
      <w:pPr>
        <w:rPr>
          <w:rFonts w:ascii="Times New Roman" w:hAnsi="Times New Roman" w:cs="Times New Roman"/>
          <w:b/>
          <w:bCs/>
          <w:sz w:val="24"/>
          <w:szCs w:val="24"/>
        </w:rPr>
      </w:pPr>
    </w:p>
    <w:p w14:paraId="3671463E" w14:textId="77777777" w:rsidR="00AB0980" w:rsidRDefault="00AB0980" w:rsidP="008F666C">
      <w:pPr>
        <w:rPr>
          <w:rFonts w:ascii="Times New Roman" w:hAnsi="Times New Roman" w:cs="Times New Roman"/>
          <w:b/>
          <w:bCs/>
          <w:sz w:val="24"/>
          <w:szCs w:val="24"/>
        </w:rPr>
      </w:pPr>
    </w:p>
    <w:p w14:paraId="32A0784A" w14:textId="77777777" w:rsidR="00AB0980" w:rsidRDefault="00AB0980" w:rsidP="008F666C">
      <w:pPr>
        <w:rPr>
          <w:rFonts w:ascii="Times New Roman" w:hAnsi="Times New Roman" w:cs="Times New Roman"/>
          <w:b/>
          <w:bCs/>
          <w:sz w:val="24"/>
          <w:szCs w:val="24"/>
        </w:rPr>
      </w:pPr>
    </w:p>
    <w:p w14:paraId="51337876" w14:textId="77777777" w:rsidR="00AB0980" w:rsidRDefault="00AB0980" w:rsidP="008F666C">
      <w:pPr>
        <w:rPr>
          <w:rFonts w:ascii="Times New Roman" w:hAnsi="Times New Roman" w:cs="Times New Roman"/>
          <w:b/>
          <w:bCs/>
          <w:sz w:val="24"/>
          <w:szCs w:val="24"/>
        </w:rPr>
      </w:pPr>
    </w:p>
    <w:p w14:paraId="3EA12EF1" w14:textId="7A61102C" w:rsidR="00AB0980" w:rsidRDefault="00AB0980" w:rsidP="008F666C">
      <w:pPr>
        <w:rPr>
          <w:rFonts w:ascii="Times New Roman" w:hAnsi="Times New Roman" w:cs="Times New Roman"/>
          <w:b/>
          <w:bCs/>
          <w:sz w:val="24"/>
          <w:szCs w:val="24"/>
        </w:rPr>
      </w:pPr>
    </w:p>
    <w:p w14:paraId="78B6506F" w14:textId="0538A20C" w:rsidR="00E34A62" w:rsidRDefault="00E34A62" w:rsidP="008F666C">
      <w:pPr>
        <w:rPr>
          <w:rFonts w:ascii="Times New Roman" w:hAnsi="Times New Roman" w:cs="Times New Roman"/>
          <w:b/>
          <w:bCs/>
          <w:sz w:val="24"/>
          <w:szCs w:val="24"/>
        </w:rPr>
      </w:pPr>
    </w:p>
    <w:p w14:paraId="68AD533D" w14:textId="5C5F43CB" w:rsidR="00E34A62" w:rsidRDefault="00E34A62" w:rsidP="008F666C">
      <w:pPr>
        <w:rPr>
          <w:rFonts w:ascii="Times New Roman" w:hAnsi="Times New Roman" w:cs="Times New Roman"/>
          <w:b/>
          <w:bCs/>
          <w:sz w:val="24"/>
          <w:szCs w:val="24"/>
        </w:rPr>
      </w:pPr>
    </w:p>
    <w:p w14:paraId="4DB8AD85" w14:textId="40E59AF0" w:rsidR="00E34A62" w:rsidRDefault="00E34A62" w:rsidP="008F666C">
      <w:pPr>
        <w:rPr>
          <w:rFonts w:ascii="Times New Roman" w:hAnsi="Times New Roman" w:cs="Times New Roman"/>
          <w:b/>
          <w:bCs/>
          <w:sz w:val="24"/>
          <w:szCs w:val="24"/>
        </w:rPr>
      </w:pPr>
    </w:p>
    <w:p w14:paraId="4375B7F0" w14:textId="77777777" w:rsidR="00E34A62" w:rsidRDefault="00E34A62" w:rsidP="008F666C">
      <w:pPr>
        <w:rPr>
          <w:rFonts w:ascii="Times New Roman" w:hAnsi="Times New Roman" w:cs="Times New Roman"/>
          <w:b/>
          <w:bCs/>
          <w:sz w:val="24"/>
          <w:szCs w:val="24"/>
        </w:rPr>
      </w:pPr>
    </w:p>
    <w:p w14:paraId="4892B8DB" w14:textId="77777777" w:rsidR="00242654" w:rsidRDefault="008F666C" w:rsidP="008F666C">
      <w:pPr>
        <w:rPr>
          <w:rFonts w:ascii="Times New Roman" w:hAnsi="Times New Roman" w:cs="Times New Roman"/>
          <w:b/>
          <w:bCs/>
          <w:sz w:val="24"/>
          <w:szCs w:val="24"/>
        </w:rPr>
      </w:pPr>
      <w:r>
        <w:rPr>
          <w:rFonts w:ascii="Times New Roman" w:hAnsi="Times New Roman" w:cs="Times New Roman"/>
          <w:b/>
          <w:bCs/>
          <w:sz w:val="24"/>
          <w:szCs w:val="24"/>
        </w:rPr>
        <w:lastRenderedPageBreak/>
        <w:t>INTERNAZIONALE PRIVATO</w:t>
      </w:r>
    </w:p>
    <w:p w14:paraId="3FCA7337" w14:textId="77777777" w:rsidR="008F666C" w:rsidRPr="000E102F" w:rsidRDefault="00242654" w:rsidP="001D2B28">
      <w:pPr>
        <w:ind w:left="705"/>
        <w:rPr>
          <w:rFonts w:ascii="Times New Roman" w:hAnsi="Times New Roman" w:cs="Times New Roman"/>
          <w:b/>
          <w:bCs/>
          <w:sz w:val="24"/>
          <w:szCs w:val="24"/>
          <w:lang w:val="fr-FR"/>
        </w:rPr>
      </w:pPr>
      <w:r>
        <w:rPr>
          <w:rFonts w:ascii="Times New Roman" w:hAnsi="Times New Roman" w:cs="Times New Roman"/>
          <w:b/>
          <w:bCs/>
          <w:sz w:val="24"/>
          <w:szCs w:val="24"/>
        </w:rPr>
        <w:t xml:space="preserve">L’espressione </w:t>
      </w:r>
      <w:r w:rsidR="001D2B28">
        <w:rPr>
          <w:rFonts w:ascii="Times New Roman" w:hAnsi="Times New Roman" w:cs="Times New Roman"/>
          <w:b/>
          <w:bCs/>
          <w:sz w:val="24"/>
          <w:szCs w:val="24"/>
        </w:rPr>
        <w:t xml:space="preserve"> “</w:t>
      </w:r>
      <w:proofErr w:type="spellStart"/>
      <w:r w:rsidR="001D2B28">
        <w:rPr>
          <w:rFonts w:ascii="Times New Roman" w:hAnsi="Times New Roman" w:cs="Times New Roman"/>
          <w:b/>
          <w:bCs/>
          <w:sz w:val="24"/>
          <w:szCs w:val="24"/>
        </w:rPr>
        <w:t>C</w:t>
      </w:r>
      <w:r>
        <w:rPr>
          <w:rFonts w:ascii="Times New Roman" w:hAnsi="Times New Roman" w:cs="Times New Roman"/>
          <w:b/>
          <w:bCs/>
          <w:sz w:val="24"/>
          <w:szCs w:val="24"/>
        </w:rPr>
        <w:t>onflict</w:t>
      </w:r>
      <w:proofErr w:type="spellEnd"/>
      <w:r>
        <w:rPr>
          <w:rFonts w:ascii="Times New Roman" w:hAnsi="Times New Roman" w:cs="Times New Roman"/>
          <w:b/>
          <w:bCs/>
          <w:sz w:val="24"/>
          <w:szCs w:val="24"/>
        </w:rPr>
        <w:t xml:space="preserve"> of </w:t>
      </w:r>
      <w:proofErr w:type="spellStart"/>
      <w:r>
        <w:rPr>
          <w:rFonts w:ascii="Times New Roman" w:hAnsi="Times New Roman" w:cs="Times New Roman"/>
          <w:b/>
          <w:bCs/>
          <w:sz w:val="24"/>
          <w:szCs w:val="24"/>
        </w:rPr>
        <w:t>Laws</w:t>
      </w:r>
      <w:proofErr w:type="spellEnd"/>
      <w:r w:rsidR="001D2B28">
        <w:rPr>
          <w:rFonts w:ascii="Times New Roman" w:hAnsi="Times New Roman" w:cs="Times New Roman"/>
          <w:b/>
          <w:bCs/>
          <w:sz w:val="24"/>
          <w:szCs w:val="24"/>
        </w:rPr>
        <w:t xml:space="preserve">” </w:t>
      </w:r>
      <w:r>
        <w:rPr>
          <w:rFonts w:ascii="Times New Roman" w:hAnsi="Times New Roman" w:cs="Times New Roman"/>
          <w:b/>
          <w:bCs/>
          <w:sz w:val="24"/>
          <w:szCs w:val="24"/>
        </w:rPr>
        <w:t>è di J. Story (1834) ed ha avuto fortuna</w:t>
      </w:r>
      <w:r w:rsidR="001D2B28">
        <w:rPr>
          <w:rFonts w:ascii="Times New Roman" w:hAnsi="Times New Roman" w:cs="Times New Roman"/>
          <w:b/>
          <w:bCs/>
          <w:sz w:val="24"/>
          <w:szCs w:val="24"/>
        </w:rPr>
        <w:t>.</w:t>
      </w:r>
      <w:r w:rsidR="001D2B28">
        <w:rPr>
          <w:rFonts w:ascii="Times New Roman" w:hAnsi="Times New Roman" w:cs="Times New Roman"/>
          <w:b/>
          <w:bCs/>
          <w:sz w:val="24"/>
          <w:szCs w:val="24"/>
        </w:rPr>
        <w:br/>
      </w:r>
      <w:proofErr w:type="spellStart"/>
      <w:r w:rsidR="001D2B28" w:rsidRPr="000E102F">
        <w:rPr>
          <w:rFonts w:ascii="Times New Roman" w:hAnsi="Times New Roman" w:cs="Times New Roman"/>
          <w:b/>
          <w:bCs/>
          <w:sz w:val="24"/>
          <w:szCs w:val="24"/>
          <w:lang w:val="fr-FR"/>
        </w:rPr>
        <w:t>Goldschmit</w:t>
      </w:r>
      <w:proofErr w:type="spellEnd"/>
      <w:r w:rsidR="001D2B28" w:rsidRPr="000E102F">
        <w:rPr>
          <w:rFonts w:ascii="Times New Roman" w:hAnsi="Times New Roman" w:cs="Times New Roman"/>
          <w:b/>
          <w:bCs/>
          <w:sz w:val="24"/>
          <w:szCs w:val="24"/>
          <w:lang w:val="fr-FR"/>
        </w:rPr>
        <w:t xml:space="preserve">: </w:t>
      </w:r>
      <w:proofErr w:type="spellStart"/>
      <w:r w:rsidR="001D2B28" w:rsidRPr="000E102F">
        <w:rPr>
          <w:rFonts w:ascii="Times New Roman" w:hAnsi="Times New Roman" w:cs="Times New Roman"/>
          <w:b/>
          <w:bCs/>
          <w:i/>
          <w:iCs/>
          <w:sz w:val="24"/>
          <w:szCs w:val="24"/>
          <w:lang w:val="fr-FR"/>
        </w:rPr>
        <w:t>Das</w:t>
      </w:r>
      <w:proofErr w:type="spellEnd"/>
      <w:r w:rsidR="001D2B28" w:rsidRPr="000E102F">
        <w:rPr>
          <w:rFonts w:ascii="Times New Roman" w:hAnsi="Times New Roman" w:cs="Times New Roman"/>
          <w:b/>
          <w:bCs/>
          <w:i/>
          <w:iCs/>
          <w:sz w:val="24"/>
          <w:szCs w:val="24"/>
          <w:lang w:val="fr-FR"/>
        </w:rPr>
        <w:t xml:space="preserve"> </w:t>
      </w:r>
      <w:proofErr w:type="spellStart"/>
      <w:r w:rsidR="001D2B28" w:rsidRPr="000E102F">
        <w:rPr>
          <w:rFonts w:ascii="Times New Roman" w:hAnsi="Times New Roman" w:cs="Times New Roman"/>
          <w:b/>
          <w:bCs/>
          <w:i/>
          <w:iCs/>
          <w:sz w:val="24"/>
          <w:szCs w:val="24"/>
          <w:lang w:val="fr-FR"/>
        </w:rPr>
        <w:t>Spezifische</w:t>
      </w:r>
      <w:proofErr w:type="spellEnd"/>
      <w:r w:rsidR="001D2B28" w:rsidRPr="000E102F">
        <w:rPr>
          <w:rFonts w:ascii="Times New Roman" w:hAnsi="Times New Roman" w:cs="Times New Roman"/>
          <w:b/>
          <w:bCs/>
          <w:i/>
          <w:iCs/>
          <w:sz w:val="24"/>
          <w:szCs w:val="24"/>
          <w:lang w:val="fr-FR"/>
        </w:rPr>
        <w:t xml:space="preserve"> des </w:t>
      </w:r>
      <w:proofErr w:type="spellStart"/>
      <w:r w:rsidR="001D2B28" w:rsidRPr="000E102F">
        <w:rPr>
          <w:rFonts w:ascii="Times New Roman" w:hAnsi="Times New Roman" w:cs="Times New Roman"/>
          <w:b/>
          <w:bCs/>
          <w:i/>
          <w:iCs/>
          <w:sz w:val="24"/>
          <w:szCs w:val="24"/>
          <w:lang w:val="fr-FR"/>
        </w:rPr>
        <w:t>IPRs</w:t>
      </w:r>
      <w:proofErr w:type="spellEnd"/>
      <w:r w:rsidR="001D2B28" w:rsidRPr="000E102F">
        <w:rPr>
          <w:rFonts w:ascii="Times New Roman" w:hAnsi="Times New Roman" w:cs="Times New Roman"/>
          <w:b/>
          <w:bCs/>
          <w:i/>
          <w:iCs/>
          <w:sz w:val="24"/>
          <w:szCs w:val="24"/>
          <w:lang w:val="fr-FR"/>
        </w:rPr>
        <w:t xml:space="preserve"> </w:t>
      </w:r>
      <w:proofErr w:type="spellStart"/>
      <w:r w:rsidR="001D2B28" w:rsidRPr="000E102F">
        <w:rPr>
          <w:rFonts w:ascii="Times New Roman" w:hAnsi="Times New Roman" w:cs="Times New Roman"/>
          <w:b/>
          <w:bCs/>
          <w:i/>
          <w:iCs/>
          <w:sz w:val="24"/>
          <w:szCs w:val="24"/>
          <w:lang w:val="fr-FR"/>
        </w:rPr>
        <w:t>ist</w:t>
      </w:r>
      <w:proofErr w:type="spellEnd"/>
      <w:r w:rsidR="001D2B28" w:rsidRPr="000E102F">
        <w:rPr>
          <w:rFonts w:ascii="Times New Roman" w:hAnsi="Times New Roman" w:cs="Times New Roman"/>
          <w:b/>
          <w:bCs/>
          <w:i/>
          <w:iCs/>
          <w:sz w:val="24"/>
          <w:szCs w:val="24"/>
          <w:lang w:val="fr-FR"/>
        </w:rPr>
        <w:t xml:space="preserve"> die </w:t>
      </w:r>
      <w:proofErr w:type="spellStart"/>
      <w:r w:rsidR="001D2B28" w:rsidRPr="000E102F">
        <w:rPr>
          <w:rFonts w:ascii="Times New Roman" w:hAnsi="Times New Roman" w:cs="Times New Roman"/>
          <w:b/>
          <w:bCs/>
          <w:i/>
          <w:iCs/>
          <w:sz w:val="24"/>
          <w:szCs w:val="24"/>
          <w:lang w:val="fr-FR"/>
        </w:rPr>
        <w:t>Achtung</w:t>
      </w:r>
      <w:proofErr w:type="spellEnd"/>
      <w:r w:rsidR="001D2B28" w:rsidRPr="000E102F">
        <w:rPr>
          <w:rFonts w:ascii="Times New Roman" w:hAnsi="Times New Roman" w:cs="Times New Roman"/>
          <w:b/>
          <w:bCs/>
          <w:i/>
          <w:iCs/>
          <w:sz w:val="24"/>
          <w:szCs w:val="24"/>
          <w:lang w:val="fr-FR"/>
        </w:rPr>
        <w:t xml:space="preserve"> des </w:t>
      </w:r>
      <w:proofErr w:type="spellStart"/>
      <w:r w:rsidR="001D2B28" w:rsidRPr="000E102F">
        <w:rPr>
          <w:rFonts w:ascii="Times New Roman" w:hAnsi="Times New Roman" w:cs="Times New Roman"/>
          <w:b/>
          <w:bCs/>
          <w:i/>
          <w:iCs/>
          <w:sz w:val="24"/>
          <w:szCs w:val="24"/>
          <w:lang w:val="fr-FR"/>
        </w:rPr>
        <w:t>Fremden</w:t>
      </w:r>
      <w:proofErr w:type="spellEnd"/>
      <w:r w:rsidR="001D2B28" w:rsidRPr="000E102F">
        <w:rPr>
          <w:rFonts w:ascii="Times New Roman" w:hAnsi="Times New Roman" w:cs="Times New Roman"/>
          <w:b/>
          <w:bCs/>
          <w:sz w:val="24"/>
          <w:szCs w:val="24"/>
          <w:lang w:val="fr-FR"/>
        </w:rPr>
        <w:t>.</w:t>
      </w:r>
    </w:p>
    <w:p w14:paraId="54B2CDA9" w14:textId="33A83A6F" w:rsidR="001D2B28" w:rsidRDefault="001D2B28" w:rsidP="001D2B28">
      <w:pPr>
        <w:ind w:left="705"/>
        <w:rPr>
          <w:rFonts w:ascii="Times New Roman" w:hAnsi="Times New Roman" w:cs="Times New Roman"/>
          <w:b/>
          <w:bCs/>
          <w:sz w:val="24"/>
          <w:szCs w:val="24"/>
        </w:rPr>
      </w:pPr>
      <w:r>
        <w:rPr>
          <w:rFonts w:ascii="Times New Roman" w:hAnsi="Times New Roman" w:cs="Times New Roman"/>
          <w:b/>
          <w:bCs/>
          <w:sz w:val="24"/>
          <w:szCs w:val="24"/>
        </w:rPr>
        <w:t>Disciplina fattispecie di diritto privato caratterizzate da elementi di estraneità rispetto all’ordinamento del foro</w:t>
      </w:r>
      <w:r w:rsidR="00597A81">
        <w:rPr>
          <w:rFonts w:ascii="Times New Roman" w:hAnsi="Times New Roman" w:cs="Times New Roman"/>
          <w:b/>
          <w:bCs/>
          <w:sz w:val="24"/>
          <w:szCs w:val="24"/>
        </w:rPr>
        <w:t>.</w:t>
      </w:r>
    </w:p>
    <w:p w14:paraId="5DAB4C55" w14:textId="3C01252D" w:rsidR="00597A81" w:rsidRPr="001A5D3E" w:rsidRDefault="00597A81" w:rsidP="00242654">
      <w:pPr>
        <w:ind w:firstLine="708"/>
        <w:jc w:val="both"/>
        <w:rPr>
          <w:rFonts w:ascii="Times New Roman" w:hAnsi="Times New Roman" w:cs="Times New Roman"/>
          <w:b/>
          <w:bCs/>
          <w:sz w:val="24"/>
          <w:szCs w:val="24"/>
        </w:rPr>
      </w:pPr>
      <w:r>
        <w:rPr>
          <w:rFonts w:ascii="Times New Roman" w:hAnsi="Times New Roman" w:cs="Times New Roman"/>
          <w:b/>
          <w:bCs/>
          <w:sz w:val="24"/>
          <w:szCs w:val="24"/>
        </w:rPr>
        <w:t>Il problema delle qualificazioni (delle categorie utilizzate dalle norme di conflitto per individuare la legge applicabile)</w:t>
      </w:r>
      <w:r w:rsidR="001A5D3E">
        <w:rPr>
          <w:rFonts w:ascii="Times New Roman" w:hAnsi="Times New Roman" w:cs="Times New Roman"/>
          <w:b/>
          <w:bCs/>
          <w:sz w:val="24"/>
          <w:szCs w:val="24"/>
        </w:rPr>
        <w:t xml:space="preserve"> per interpretare correttamente i cd. </w:t>
      </w:r>
      <w:r w:rsidR="001A5D3E" w:rsidRPr="001A5D3E">
        <w:rPr>
          <w:rFonts w:ascii="Times New Roman" w:hAnsi="Times New Roman" w:cs="Times New Roman"/>
          <w:b/>
          <w:bCs/>
          <w:i/>
          <w:iCs/>
          <w:sz w:val="24"/>
          <w:szCs w:val="24"/>
        </w:rPr>
        <w:t xml:space="preserve">key </w:t>
      </w:r>
      <w:proofErr w:type="spellStart"/>
      <w:r w:rsidR="001A5D3E" w:rsidRPr="001A5D3E">
        <w:rPr>
          <w:rFonts w:ascii="Times New Roman" w:hAnsi="Times New Roman" w:cs="Times New Roman"/>
          <w:b/>
          <w:bCs/>
          <w:i/>
          <w:iCs/>
          <w:sz w:val="24"/>
          <w:szCs w:val="24"/>
        </w:rPr>
        <w:t>connecting</w:t>
      </w:r>
      <w:proofErr w:type="spellEnd"/>
      <w:r w:rsidR="001A5D3E" w:rsidRPr="001A5D3E">
        <w:rPr>
          <w:rFonts w:ascii="Times New Roman" w:hAnsi="Times New Roman" w:cs="Times New Roman"/>
          <w:b/>
          <w:bCs/>
          <w:i/>
          <w:iCs/>
          <w:sz w:val="24"/>
          <w:szCs w:val="24"/>
        </w:rPr>
        <w:t xml:space="preserve"> </w:t>
      </w:r>
      <w:proofErr w:type="spellStart"/>
      <w:r w:rsidR="001A5D3E" w:rsidRPr="001A5D3E">
        <w:rPr>
          <w:rFonts w:ascii="Times New Roman" w:hAnsi="Times New Roman" w:cs="Times New Roman"/>
          <w:b/>
          <w:bCs/>
          <w:i/>
          <w:iCs/>
          <w:sz w:val="24"/>
          <w:szCs w:val="24"/>
        </w:rPr>
        <w:t>factors</w:t>
      </w:r>
      <w:proofErr w:type="spellEnd"/>
      <w:r w:rsidR="001A5D3E">
        <w:rPr>
          <w:rFonts w:ascii="Times New Roman" w:hAnsi="Times New Roman" w:cs="Times New Roman"/>
          <w:b/>
          <w:bCs/>
          <w:sz w:val="24"/>
          <w:szCs w:val="24"/>
        </w:rPr>
        <w:t xml:space="preserve"> (o </w:t>
      </w:r>
      <w:r w:rsidR="001A5D3E" w:rsidRPr="001A5D3E">
        <w:rPr>
          <w:rFonts w:ascii="Times New Roman" w:hAnsi="Times New Roman" w:cs="Times New Roman"/>
          <w:b/>
          <w:bCs/>
          <w:i/>
          <w:iCs/>
          <w:sz w:val="24"/>
          <w:szCs w:val="24"/>
        </w:rPr>
        <w:t xml:space="preserve">points de </w:t>
      </w:r>
      <w:proofErr w:type="spellStart"/>
      <w:r w:rsidR="001A5D3E" w:rsidRPr="001A5D3E">
        <w:rPr>
          <w:rFonts w:ascii="Times New Roman" w:hAnsi="Times New Roman" w:cs="Times New Roman"/>
          <w:b/>
          <w:bCs/>
          <w:i/>
          <w:iCs/>
          <w:sz w:val="24"/>
          <w:szCs w:val="24"/>
        </w:rPr>
        <w:t>rattachments</w:t>
      </w:r>
      <w:proofErr w:type="spellEnd"/>
      <w:r w:rsidR="001A5D3E">
        <w:rPr>
          <w:rFonts w:ascii="Times New Roman" w:hAnsi="Times New Roman" w:cs="Times New Roman"/>
          <w:b/>
          <w:bCs/>
          <w:sz w:val="24"/>
          <w:szCs w:val="24"/>
        </w:rPr>
        <w:t>).</w:t>
      </w:r>
    </w:p>
    <w:p w14:paraId="6A88AD93" w14:textId="57D691FC" w:rsidR="00242654" w:rsidRDefault="00242654" w:rsidP="00242654">
      <w:pPr>
        <w:ind w:firstLine="708"/>
        <w:jc w:val="both"/>
        <w:rPr>
          <w:rFonts w:ascii="Times New Roman" w:hAnsi="Times New Roman" w:cs="Times New Roman"/>
          <w:b/>
          <w:bCs/>
          <w:sz w:val="24"/>
          <w:szCs w:val="24"/>
        </w:rPr>
      </w:pPr>
      <w:r w:rsidRPr="00242654">
        <w:rPr>
          <w:rFonts w:ascii="Times New Roman" w:hAnsi="Times New Roman" w:cs="Times New Roman"/>
          <w:b/>
          <w:bCs/>
          <w:sz w:val="24"/>
          <w:szCs w:val="24"/>
        </w:rPr>
        <w:t>Il testo di riferimento del diritto internazionale privato italiano è la legge 31 maggio</w:t>
      </w:r>
      <w:r>
        <w:rPr>
          <w:rFonts w:ascii="Times New Roman" w:hAnsi="Times New Roman" w:cs="Times New Roman"/>
          <w:b/>
          <w:bCs/>
          <w:sz w:val="24"/>
          <w:szCs w:val="24"/>
        </w:rPr>
        <w:t xml:space="preserve"> </w:t>
      </w:r>
      <w:hyperlink r:id="rId7" w:tooltip="1995" w:history="1">
        <w:r w:rsidRPr="00242654">
          <w:rPr>
            <w:rStyle w:val="Collegamentoipertestuale"/>
            <w:rFonts w:ascii="Times New Roman" w:hAnsi="Times New Roman" w:cs="Times New Roman"/>
            <w:b/>
            <w:bCs/>
            <w:color w:val="auto"/>
            <w:sz w:val="24"/>
            <w:szCs w:val="24"/>
            <w:u w:val="none"/>
          </w:rPr>
          <w:t>1995</w:t>
        </w:r>
      </w:hyperlink>
      <w:r w:rsidRPr="00242654">
        <w:rPr>
          <w:rFonts w:ascii="Times New Roman" w:hAnsi="Times New Roman" w:cs="Times New Roman"/>
          <w:b/>
          <w:bCs/>
          <w:sz w:val="24"/>
          <w:szCs w:val="24"/>
        </w:rPr>
        <w:t xml:space="preserve"> n. 218, in cui sono contenute le disposizioni che disciplinano la materia. </w:t>
      </w:r>
    </w:p>
    <w:p w14:paraId="1877D0CC" w14:textId="77777777" w:rsidR="00242654" w:rsidRDefault="00242654" w:rsidP="00242654">
      <w:pPr>
        <w:ind w:firstLine="708"/>
        <w:jc w:val="both"/>
        <w:rPr>
          <w:rFonts w:ascii="Times New Roman" w:hAnsi="Times New Roman" w:cs="Times New Roman"/>
          <w:b/>
          <w:bCs/>
          <w:sz w:val="24"/>
          <w:szCs w:val="24"/>
        </w:rPr>
      </w:pPr>
      <w:r w:rsidRPr="00242654">
        <w:rPr>
          <w:rFonts w:ascii="Times New Roman" w:hAnsi="Times New Roman" w:cs="Times New Roman"/>
          <w:b/>
          <w:bCs/>
          <w:sz w:val="24"/>
          <w:szCs w:val="24"/>
        </w:rPr>
        <w:t>La legge, come indicato nel suo art. 1</w:t>
      </w:r>
      <w:r>
        <w:rPr>
          <w:rFonts w:ascii="Times New Roman" w:hAnsi="Times New Roman" w:cs="Times New Roman"/>
          <w:b/>
          <w:bCs/>
          <w:sz w:val="24"/>
          <w:szCs w:val="24"/>
        </w:rPr>
        <w:t>, “…</w:t>
      </w:r>
      <w:r w:rsidRPr="00242654">
        <w:rPr>
          <w:rFonts w:ascii="Times New Roman" w:hAnsi="Times New Roman" w:cs="Times New Roman"/>
          <w:b/>
          <w:bCs/>
          <w:sz w:val="24"/>
          <w:szCs w:val="24"/>
        </w:rPr>
        <w:t xml:space="preserve"> determina l'ambito della giurisdizione italiana, pone i criteri per l'individuazione del diritto applicabile e disciplina l'efficacia delle sentenze e degli atti stranieri</w:t>
      </w:r>
      <w:r>
        <w:rPr>
          <w:rFonts w:ascii="Times New Roman" w:hAnsi="Times New Roman" w:cs="Times New Roman"/>
          <w:b/>
          <w:bCs/>
          <w:sz w:val="24"/>
          <w:szCs w:val="24"/>
        </w:rPr>
        <w:t>”.</w:t>
      </w:r>
    </w:p>
    <w:p w14:paraId="4791E745" w14:textId="77777777" w:rsidR="00242654" w:rsidRDefault="00242654" w:rsidP="00242654">
      <w:pPr>
        <w:ind w:firstLine="708"/>
        <w:jc w:val="both"/>
        <w:rPr>
          <w:rFonts w:ascii="Times New Roman" w:hAnsi="Times New Roman" w:cs="Times New Roman"/>
          <w:b/>
          <w:bCs/>
          <w:sz w:val="24"/>
          <w:szCs w:val="24"/>
        </w:rPr>
      </w:pPr>
      <w:r w:rsidRPr="00242654">
        <w:rPr>
          <w:rFonts w:ascii="Times New Roman" w:hAnsi="Times New Roman" w:cs="Times New Roman"/>
          <w:b/>
          <w:bCs/>
          <w:sz w:val="24"/>
          <w:szCs w:val="24"/>
        </w:rPr>
        <w:t xml:space="preserve"> </w:t>
      </w:r>
      <w:r>
        <w:rPr>
          <w:rFonts w:ascii="Times New Roman" w:hAnsi="Times New Roman" w:cs="Times New Roman"/>
          <w:b/>
          <w:bCs/>
          <w:sz w:val="24"/>
          <w:szCs w:val="24"/>
        </w:rPr>
        <w:t xml:space="preserve">Dunque, </w:t>
      </w:r>
      <w:r w:rsidRPr="00242654">
        <w:rPr>
          <w:rFonts w:ascii="Times New Roman" w:hAnsi="Times New Roman" w:cs="Times New Roman"/>
          <w:b/>
          <w:bCs/>
          <w:sz w:val="24"/>
          <w:szCs w:val="24"/>
        </w:rPr>
        <w:t xml:space="preserve">determina l'ambito della giurisdizione italiana, pone i criteri per l'individuazione del diritto applicabile e disciplina l'efficacia delle sentenze e degli atti stranieri. L'ambito di applicazione di questa norma </w:t>
      </w:r>
      <w:r>
        <w:rPr>
          <w:rFonts w:ascii="Times New Roman" w:hAnsi="Times New Roman" w:cs="Times New Roman"/>
          <w:b/>
          <w:bCs/>
          <w:sz w:val="24"/>
          <w:szCs w:val="24"/>
        </w:rPr>
        <w:t xml:space="preserve">va coordinato con il </w:t>
      </w:r>
      <w:r w:rsidRPr="00242654">
        <w:rPr>
          <w:rFonts w:ascii="Times New Roman" w:hAnsi="Times New Roman" w:cs="Times New Roman"/>
          <w:b/>
          <w:bCs/>
          <w:sz w:val="24"/>
          <w:szCs w:val="24"/>
        </w:rPr>
        <w:t>diritto dell'</w:t>
      </w:r>
      <w:hyperlink r:id="rId8" w:tooltip="Unione europea" w:history="1">
        <w:r w:rsidRPr="00242654">
          <w:rPr>
            <w:rStyle w:val="Collegamentoipertestuale"/>
            <w:rFonts w:ascii="Times New Roman" w:hAnsi="Times New Roman" w:cs="Times New Roman"/>
            <w:b/>
            <w:bCs/>
            <w:color w:val="auto"/>
            <w:sz w:val="24"/>
            <w:szCs w:val="24"/>
            <w:u w:val="none"/>
          </w:rPr>
          <w:t>Unione europea</w:t>
        </w:r>
      </w:hyperlink>
      <w:r>
        <w:rPr>
          <w:rFonts w:ascii="Times New Roman" w:hAnsi="Times New Roman" w:cs="Times New Roman"/>
          <w:b/>
          <w:bCs/>
          <w:sz w:val="24"/>
          <w:szCs w:val="24"/>
        </w:rPr>
        <w:t xml:space="preserve"> che, come noto, è caratterizzato dalla diretta efficacia e dal primato</w:t>
      </w:r>
      <w:r w:rsidRPr="00242654">
        <w:rPr>
          <w:rFonts w:ascii="Times New Roman" w:hAnsi="Times New Roman" w:cs="Times New Roman"/>
          <w:b/>
          <w:bCs/>
          <w:sz w:val="24"/>
          <w:szCs w:val="24"/>
        </w:rPr>
        <w:t>.</w:t>
      </w:r>
    </w:p>
    <w:p w14:paraId="43620EA5" w14:textId="77777777" w:rsidR="00030C23" w:rsidRPr="00030C23" w:rsidRDefault="00030C23" w:rsidP="00030C23">
      <w:pPr>
        <w:ind w:firstLine="708"/>
        <w:jc w:val="both"/>
        <w:rPr>
          <w:rFonts w:ascii="Times New Roman" w:hAnsi="Times New Roman" w:cs="Times New Roman"/>
          <w:b/>
          <w:bCs/>
          <w:sz w:val="24"/>
          <w:szCs w:val="24"/>
        </w:rPr>
      </w:pPr>
      <w:r w:rsidRPr="00030C23">
        <w:rPr>
          <w:rFonts w:ascii="Times New Roman" w:hAnsi="Times New Roman" w:cs="Times New Roman"/>
          <w:b/>
          <w:bCs/>
          <w:sz w:val="24"/>
          <w:szCs w:val="24"/>
        </w:rPr>
        <w:t>L’entrata in vigore del Trattato di Amsterdam (1.5.1999) ha segnato l’avvio del processo di cd. “comunitarizzazione” del diritto internazionale privato e processuale. </w:t>
      </w:r>
    </w:p>
    <w:p w14:paraId="23D89BD9" w14:textId="77777777" w:rsidR="00030C23" w:rsidRPr="00242654" w:rsidRDefault="00030C23" w:rsidP="00030C23">
      <w:pPr>
        <w:ind w:firstLine="708"/>
        <w:jc w:val="both"/>
        <w:rPr>
          <w:rFonts w:ascii="Times New Roman" w:hAnsi="Times New Roman" w:cs="Times New Roman"/>
          <w:b/>
          <w:bCs/>
          <w:sz w:val="24"/>
          <w:szCs w:val="24"/>
        </w:rPr>
      </w:pPr>
      <w:r w:rsidRPr="00030C23">
        <w:rPr>
          <w:rFonts w:ascii="Times New Roman" w:hAnsi="Times New Roman" w:cs="Times New Roman"/>
          <w:b/>
          <w:bCs/>
          <w:sz w:val="24"/>
          <w:szCs w:val="24"/>
        </w:rPr>
        <w:t>Tale processo, in taluni casi, si è tradotto nella trasformazione in atti comunitari (Regolamenti) di preesistenti strumenti convenzionali e, in altri, nell’adozione di normative uniformi in settori privi ancora di disciplina comune.</w:t>
      </w:r>
    </w:p>
    <w:p w14:paraId="47DF8762" w14:textId="77777777" w:rsidR="00242654" w:rsidRPr="00242654" w:rsidRDefault="00242654" w:rsidP="00242654">
      <w:pPr>
        <w:jc w:val="both"/>
        <w:rPr>
          <w:rFonts w:ascii="Times New Roman" w:hAnsi="Times New Roman" w:cs="Times New Roman"/>
          <w:b/>
          <w:bCs/>
          <w:sz w:val="24"/>
          <w:szCs w:val="24"/>
        </w:rPr>
      </w:pPr>
      <w:r w:rsidRPr="00242654">
        <w:rPr>
          <w:rFonts w:ascii="Times New Roman" w:hAnsi="Times New Roman" w:cs="Times New Roman"/>
          <w:b/>
          <w:bCs/>
          <w:sz w:val="24"/>
          <w:szCs w:val="24"/>
        </w:rPr>
        <w:t>Di particolare rilevanza</w:t>
      </w:r>
      <w:r>
        <w:rPr>
          <w:rFonts w:ascii="Times New Roman" w:hAnsi="Times New Roman" w:cs="Times New Roman"/>
          <w:b/>
          <w:bCs/>
          <w:sz w:val="24"/>
          <w:szCs w:val="24"/>
        </w:rPr>
        <w:t>, a fini pratici,</w:t>
      </w:r>
      <w:r w:rsidRPr="00242654">
        <w:rPr>
          <w:rFonts w:ascii="Times New Roman" w:hAnsi="Times New Roman" w:cs="Times New Roman"/>
          <w:b/>
          <w:bCs/>
          <w:sz w:val="24"/>
          <w:szCs w:val="24"/>
        </w:rPr>
        <w:t xml:space="preserve"> sono i regolamenti:</w:t>
      </w:r>
    </w:p>
    <w:p w14:paraId="6559933D" w14:textId="77777777" w:rsidR="00242654" w:rsidRPr="00242654" w:rsidRDefault="00E5738A" w:rsidP="00242654">
      <w:pPr>
        <w:numPr>
          <w:ilvl w:val="0"/>
          <w:numId w:val="2"/>
        </w:numPr>
        <w:jc w:val="both"/>
        <w:rPr>
          <w:rFonts w:ascii="Times New Roman" w:hAnsi="Times New Roman" w:cs="Times New Roman"/>
          <w:b/>
          <w:bCs/>
          <w:sz w:val="24"/>
          <w:szCs w:val="24"/>
        </w:rPr>
      </w:pPr>
      <w:hyperlink r:id="rId9" w:tooltip="Regolamento Bruxelles 1 (la pagina non esiste)" w:history="1">
        <w:r w:rsidR="00242654" w:rsidRPr="00242654">
          <w:rPr>
            <w:rStyle w:val="Collegamentoipertestuale"/>
            <w:rFonts w:ascii="Times New Roman" w:hAnsi="Times New Roman" w:cs="Times New Roman"/>
            <w:b/>
            <w:bCs/>
            <w:color w:val="auto"/>
            <w:sz w:val="24"/>
            <w:szCs w:val="24"/>
            <w:u w:val="none"/>
          </w:rPr>
          <w:t>regolamento Bruxelles 1 bis</w:t>
        </w:r>
      </w:hyperlink>
      <w:r w:rsidR="00242654" w:rsidRPr="00242654">
        <w:rPr>
          <w:rFonts w:ascii="Times New Roman" w:hAnsi="Times New Roman" w:cs="Times New Roman"/>
          <w:b/>
          <w:bCs/>
          <w:sz w:val="24"/>
          <w:szCs w:val="24"/>
        </w:rPr>
        <w:t>, n. 1215/2012, sulla competenza giurisdizionale, il riconoscimento e le decisioni in materia civile e commerciale;</w:t>
      </w:r>
    </w:p>
    <w:p w14:paraId="387286CB" w14:textId="77777777" w:rsidR="00242654" w:rsidRPr="00242654" w:rsidRDefault="00E5738A" w:rsidP="00242654">
      <w:pPr>
        <w:numPr>
          <w:ilvl w:val="0"/>
          <w:numId w:val="2"/>
        </w:numPr>
        <w:jc w:val="both"/>
        <w:rPr>
          <w:rFonts w:ascii="Times New Roman" w:hAnsi="Times New Roman" w:cs="Times New Roman"/>
          <w:b/>
          <w:bCs/>
          <w:sz w:val="24"/>
          <w:szCs w:val="24"/>
        </w:rPr>
      </w:pPr>
      <w:hyperlink r:id="rId10" w:tooltip="Regolamento Bruxelles 2 bis (la pagina non esiste)" w:history="1">
        <w:r w:rsidR="00242654" w:rsidRPr="00242654">
          <w:rPr>
            <w:rStyle w:val="Collegamentoipertestuale"/>
            <w:rFonts w:ascii="Times New Roman" w:hAnsi="Times New Roman" w:cs="Times New Roman"/>
            <w:b/>
            <w:bCs/>
            <w:color w:val="auto"/>
            <w:sz w:val="24"/>
            <w:szCs w:val="24"/>
            <w:u w:val="none"/>
          </w:rPr>
          <w:t>regolamento Bruxelles 2 bis</w:t>
        </w:r>
      </w:hyperlink>
      <w:r w:rsidR="00242654" w:rsidRPr="00242654">
        <w:rPr>
          <w:rFonts w:ascii="Times New Roman" w:hAnsi="Times New Roman" w:cs="Times New Roman"/>
          <w:b/>
          <w:bCs/>
          <w:sz w:val="24"/>
          <w:szCs w:val="24"/>
        </w:rPr>
        <w:t>, n. 2201/2003, relativo alla competenza, al riconoscimento e all'esecuzione delle decisioni in materia matrimoniale e in materia di responsabilità genitoriale;</w:t>
      </w:r>
    </w:p>
    <w:p w14:paraId="1CA9E859" w14:textId="77777777" w:rsidR="00242654" w:rsidRPr="00242654" w:rsidRDefault="00E5738A" w:rsidP="00242654">
      <w:pPr>
        <w:numPr>
          <w:ilvl w:val="0"/>
          <w:numId w:val="2"/>
        </w:numPr>
        <w:jc w:val="both"/>
        <w:rPr>
          <w:rFonts w:ascii="Times New Roman" w:hAnsi="Times New Roman" w:cs="Times New Roman"/>
          <w:b/>
          <w:bCs/>
          <w:sz w:val="24"/>
          <w:szCs w:val="24"/>
        </w:rPr>
      </w:pPr>
      <w:hyperlink r:id="rId11" w:tooltip="Regolamento Roma 1" w:history="1">
        <w:r w:rsidR="00242654" w:rsidRPr="00242654">
          <w:rPr>
            <w:rStyle w:val="Collegamentoipertestuale"/>
            <w:rFonts w:ascii="Times New Roman" w:hAnsi="Times New Roman" w:cs="Times New Roman"/>
            <w:b/>
            <w:bCs/>
            <w:color w:val="auto"/>
            <w:sz w:val="24"/>
            <w:szCs w:val="24"/>
            <w:u w:val="none"/>
          </w:rPr>
          <w:t>regolamento Roma 1</w:t>
        </w:r>
      </w:hyperlink>
      <w:r w:rsidR="00242654" w:rsidRPr="00242654">
        <w:rPr>
          <w:rFonts w:ascii="Times New Roman" w:hAnsi="Times New Roman" w:cs="Times New Roman"/>
          <w:b/>
          <w:bCs/>
          <w:sz w:val="24"/>
          <w:szCs w:val="24"/>
        </w:rPr>
        <w:t>, n. 593/2008 sulla legge applicabile alle obbligazioni contrattuali;</w:t>
      </w:r>
    </w:p>
    <w:p w14:paraId="3D436690" w14:textId="77777777" w:rsidR="00242654" w:rsidRPr="00242654" w:rsidRDefault="00E5738A" w:rsidP="00242654">
      <w:pPr>
        <w:numPr>
          <w:ilvl w:val="0"/>
          <w:numId w:val="2"/>
        </w:numPr>
        <w:jc w:val="both"/>
        <w:rPr>
          <w:rFonts w:ascii="Times New Roman" w:hAnsi="Times New Roman" w:cs="Times New Roman"/>
          <w:b/>
          <w:bCs/>
          <w:sz w:val="24"/>
          <w:szCs w:val="24"/>
        </w:rPr>
      </w:pPr>
      <w:hyperlink r:id="rId12" w:tooltip="Regolamento Roma 2" w:history="1">
        <w:r w:rsidR="00242654" w:rsidRPr="00242654">
          <w:rPr>
            <w:rStyle w:val="Collegamentoipertestuale"/>
            <w:rFonts w:ascii="Times New Roman" w:hAnsi="Times New Roman" w:cs="Times New Roman"/>
            <w:b/>
            <w:bCs/>
            <w:color w:val="auto"/>
            <w:sz w:val="24"/>
            <w:szCs w:val="24"/>
            <w:u w:val="none"/>
          </w:rPr>
          <w:t>regolamento Roma 2</w:t>
        </w:r>
      </w:hyperlink>
      <w:r w:rsidR="00242654" w:rsidRPr="00242654">
        <w:rPr>
          <w:rFonts w:ascii="Times New Roman" w:hAnsi="Times New Roman" w:cs="Times New Roman"/>
          <w:b/>
          <w:bCs/>
          <w:sz w:val="24"/>
          <w:szCs w:val="24"/>
        </w:rPr>
        <w:t>, n. 864/2007, sulla legge applicabile alle obbligazioni extracontrattuali;</w:t>
      </w:r>
    </w:p>
    <w:p w14:paraId="5DC2800C" w14:textId="77777777" w:rsidR="00242654" w:rsidRPr="00242654" w:rsidRDefault="00E5738A" w:rsidP="00242654">
      <w:pPr>
        <w:numPr>
          <w:ilvl w:val="0"/>
          <w:numId w:val="2"/>
        </w:numPr>
        <w:jc w:val="both"/>
        <w:rPr>
          <w:rFonts w:ascii="Times New Roman" w:hAnsi="Times New Roman" w:cs="Times New Roman"/>
          <w:b/>
          <w:bCs/>
          <w:sz w:val="24"/>
          <w:szCs w:val="24"/>
        </w:rPr>
      </w:pPr>
      <w:hyperlink r:id="rId13" w:tooltip="Regolamento 4/2009 (la pagina non esiste)" w:history="1">
        <w:r w:rsidR="00242654" w:rsidRPr="00242654">
          <w:rPr>
            <w:rStyle w:val="Collegamentoipertestuale"/>
            <w:rFonts w:ascii="Times New Roman" w:hAnsi="Times New Roman" w:cs="Times New Roman"/>
            <w:b/>
            <w:bCs/>
            <w:color w:val="auto"/>
            <w:sz w:val="24"/>
            <w:szCs w:val="24"/>
            <w:u w:val="none"/>
          </w:rPr>
          <w:t>regolamento 4/2009</w:t>
        </w:r>
      </w:hyperlink>
      <w:r w:rsidR="00242654" w:rsidRPr="00242654">
        <w:rPr>
          <w:rFonts w:ascii="Times New Roman" w:hAnsi="Times New Roman" w:cs="Times New Roman"/>
          <w:b/>
          <w:bCs/>
          <w:sz w:val="24"/>
          <w:szCs w:val="24"/>
        </w:rPr>
        <w:t>, relativo alla competenza, alla legge applicabile, al riconoscimento e all'esecuzione delle decisioni e alla cooperazione in materia di obbligazioni alimentari;</w:t>
      </w:r>
    </w:p>
    <w:p w14:paraId="09B72F1E" w14:textId="77777777" w:rsidR="00242654" w:rsidRPr="00242654" w:rsidRDefault="00E5738A" w:rsidP="00242654">
      <w:pPr>
        <w:numPr>
          <w:ilvl w:val="0"/>
          <w:numId w:val="2"/>
        </w:numPr>
        <w:jc w:val="both"/>
        <w:rPr>
          <w:rFonts w:ascii="Times New Roman" w:hAnsi="Times New Roman" w:cs="Times New Roman"/>
          <w:b/>
          <w:bCs/>
          <w:sz w:val="24"/>
          <w:szCs w:val="24"/>
        </w:rPr>
      </w:pPr>
      <w:hyperlink r:id="rId14" w:tooltip="Regolamento 1259/2010, c.d. Roma 3 (la pagina non esiste)" w:history="1">
        <w:r w:rsidR="00242654" w:rsidRPr="00242654">
          <w:rPr>
            <w:rStyle w:val="Collegamentoipertestuale"/>
            <w:rFonts w:ascii="Times New Roman" w:hAnsi="Times New Roman" w:cs="Times New Roman"/>
            <w:b/>
            <w:bCs/>
            <w:color w:val="auto"/>
            <w:sz w:val="24"/>
            <w:szCs w:val="24"/>
            <w:u w:val="none"/>
          </w:rPr>
          <w:t>regolamento 1259/2010, c.d. Roma 3</w:t>
        </w:r>
      </w:hyperlink>
      <w:r w:rsidR="00242654" w:rsidRPr="00242654">
        <w:rPr>
          <w:rFonts w:ascii="Times New Roman" w:hAnsi="Times New Roman" w:cs="Times New Roman"/>
          <w:b/>
          <w:bCs/>
          <w:sz w:val="24"/>
          <w:szCs w:val="24"/>
        </w:rPr>
        <w:t>, sulla legge applicabile al divorzio e alla separazione personale;</w:t>
      </w:r>
    </w:p>
    <w:p w14:paraId="539754CF" w14:textId="77777777" w:rsidR="00612B40" w:rsidRDefault="00E5738A" w:rsidP="00242654">
      <w:pPr>
        <w:numPr>
          <w:ilvl w:val="0"/>
          <w:numId w:val="2"/>
        </w:numPr>
        <w:jc w:val="both"/>
        <w:rPr>
          <w:rFonts w:ascii="Times New Roman" w:hAnsi="Times New Roman" w:cs="Times New Roman"/>
          <w:b/>
          <w:bCs/>
          <w:sz w:val="24"/>
          <w:szCs w:val="24"/>
        </w:rPr>
      </w:pPr>
      <w:hyperlink r:id="rId15" w:tooltip="Regolamento 650/2012 (la pagina non esiste)" w:history="1">
        <w:r w:rsidR="00242654" w:rsidRPr="00242654">
          <w:rPr>
            <w:rStyle w:val="Collegamentoipertestuale"/>
            <w:rFonts w:ascii="Times New Roman" w:hAnsi="Times New Roman" w:cs="Times New Roman"/>
            <w:b/>
            <w:bCs/>
            <w:color w:val="auto"/>
            <w:sz w:val="24"/>
            <w:szCs w:val="24"/>
            <w:u w:val="none"/>
          </w:rPr>
          <w:t>regolamento 650/2012</w:t>
        </w:r>
      </w:hyperlink>
      <w:r w:rsidR="00242654" w:rsidRPr="00242654">
        <w:rPr>
          <w:rFonts w:ascii="Times New Roman" w:hAnsi="Times New Roman" w:cs="Times New Roman"/>
          <w:b/>
          <w:bCs/>
          <w:sz w:val="24"/>
          <w:szCs w:val="24"/>
        </w:rPr>
        <w:t>, relativo alla competenza, alla legge applicabile, al riconoscimento e all’esecuzione delle decisioni e all’accettazione e all’esecuzione degli atti pubblici in materia di successioni e alla creazione di un certificato successorio europeo;</w:t>
      </w:r>
    </w:p>
    <w:p w14:paraId="6F9D6AE7" w14:textId="77777777" w:rsidR="00612B40" w:rsidRDefault="00612B40" w:rsidP="00612B40">
      <w:pPr>
        <w:numPr>
          <w:ilvl w:val="0"/>
          <w:numId w:val="2"/>
        </w:numPr>
        <w:jc w:val="both"/>
        <w:rPr>
          <w:rFonts w:ascii="Times New Roman" w:hAnsi="Times New Roman" w:cs="Times New Roman"/>
          <w:b/>
          <w:bCs/>
          <w:sz w:val="24"/>
          <w:szCs w:val="24"/>
        </w:rPr>
      </w:pPr>
      <w:r w:rsidRPr="00612B40">
        <w:rPr>
          <w:rFonts w:ascii="Times New Roman" w:hAnsi="Times New Roman" w:cs="Times New Roman"/>
          <w:b/>
          <w:bCs/>
          <w:sz w:val="24"/>
          <w:szCs w:val="24"/>
        </w:rPr>
        <w:lastRenderedPageBreak/>
        <w:t xml:space="preserve"> </w:t>
      </w:r>
      <w:r>
        <w:rPr>
          <w:rFonts w:ascii="Times New Roman" w:hAnsi="Times New Roman" w:cs="Times New Roman"/>
          <w:b/>
          <w:bCs/>
          <w:sz w:val="24"/>
          <w:szCs w:val="24"/>
        </w:rPr>
        <w:t>r</w:t>
      </w:r>
      <w:r w:rsidRPr="00612B40">
        <w:rPr>
          <w:rFonts w:ascii="Times New Roman" w:hAnsi="Times New Roman" w:cs="Times New Roman"/>
          <w:b/>
          <w:bCs/>
          <w:sz w:val="24"/>
          <w:szCs w:val="24"/>
        </w:rPr>
        <w:t>eg. (UE) n. 655/2014</w:t>
      </w:r>
      <w:r>
        <w:rPr>
          <w:rFonts w:ascii="Times New Roman" w:hAnsi="Times New Roman" w:cs="Times New Roman"/>
          <w:b/>
          <w:bCs/>
          <w:sz w:val="24"/>
          <w:szCs w:val="24"/>
        </w:rPr>
        <w:t xml:space="preserve"> </w:t>
      </w:r>
      <w:r w:rsidRPr="00612B40">
        <w:rPr>
          <w:rFonts w:ascii="Times New Roman" w:hAnsi="Times New Roman" w:cs="Times New Roman"/>
          <w:b/>
          <w:bCs/>
          <w:sz w:val="24"/>
          <w:szCs w:val="24"/>
        </w:rPr>
        <w:t xml:space="preserve">istitutivo dell’ordinanza europea di sequestro conservativo sui conti bancari; </w:t>
      </w:r>
    </w:p>
    <w:p w14:paraId="051B1ABB" w14:textId="77777777" w:rsidR="00242654" w:rsidRPr="00242654" w:rsidRDefault="00612B40" w:rsidP="00612B40">
      <w:pPr>
        <w:numPr>
          <w:ilvl w:val="0"/>
          <w:numId w:val="2"/>
        </w:numPr>
        <w:jc w:val="both"/>
        <w:rPr>
          <w:rFonts w:ascii="Times New Roman" w:hAnsi="Times New Roman" w:cs="Times New Roman"/>
          <w:b/>
          <w:bCs/>
          <w:sz w:val="24"/>
          <w:szCs w:val="24"/>
        </w:rPr>
      </w:pPr>
      <w:r w:rsidRPr="00612B40">
        <w:rPr>
          <w:rFonts w:ascii="Times New Roman" w:hAnsi="Times New Roman" w:cs="Times New Roman"/>
          <w:b/>
          <w:bCs/>
          <w:sz w:val="24"/>
          <w:szCs w:val="24"/>
        </w:rPr>
        <w:t>reg. (UE) n. 2015/2421</w:t>
      </w:r>
      <w:r>
        <w:rPr>
          <w:rFonts w:ascii="Times New Roman" w:hAnsi="Times New Roman" w:cs="Times New Roman"/>
          <w:b/>
          <w:bCs/>
          <w:sz w:val="24"/>
          <w:szCs w:val="24"/>
        </w:rPr>
        <w:t xml:space="preserve"> </w:t>
      </w:r>
      <w:r w:rsidRPr="00612B40">
        <w:rPr>
          <w:rFonts w:ascii="Times New Roman" w:hAnsi="Times New Roman" w:cs="Times New Roman"/>
          <w:b/>
          <w:bCs/>
          <w:sz w:val="24"/>
          <w:szCs w:val="24"/>
        </w:rPr>
        <w:t>recante modifica del reg. (CE) n. 861/2007, che istituisce un procedimento europeo per le controversie di modesta entità, e del reg. (CE) n. 1896/2006, che istituisce un procedimento europeo d'ingiunzione di pagamento</w:t>
      </w:r>
    </w:p>
    <w:p w14:paraId="7BDD2051" w14:textId="77777777" w:rsidR="00242654" w:rsidRPr="00242654" w:rsidRDefault="00E5738A" w:rsidP="00242654">
      <w:pPr>
        <w:numPr>
          <w:ilvl w:val="0"/>
          <w:numId w:val="2"/>
        </w:numPr>
        <w:jc w:val="both"/>
        <w:rPr>
          <w:rFonts w:ascii="Times New Roman" w:hAnsi="Times New Roman" w:cs="Times New Roman"/>
          <w:b/>
          <w:bCs/>
          <w:sz w:val="24"/>
          <w:szCs w:val="24"/>
        </w:rPr>
      </w:pPr>
      <w:hyperlink r:id="rId16" w:tooltip="Regolamento 2016/1103 (la pagina non esiste)" w:history="1">
        <w:r w:rsidR="00242654" w:rsidRPr="00242654">
          <w:rPr>
            <w:rStyle w:val="Collegamentoipertestuale"/>
            <w:rFonts w:ascii="Times New Roman" w:hAnsi="Times New Roman" w:cs="Times New Roman"/>
            <w:b/>
            <w:bCs/>
            <w:color w:val="auto"/>
            <w:sz w:val="24"/>
            <w:szCs w:val="24"/>
            <w:u w:val="none"/>
          </w:rPr>
          <w:t>regolamento 2016/1103</w:t>
        </w:r>
      </w:hyperlink>
      <w:r w:rsidR="00242654" w:rsidRPr="00242654">
        <w:rPr>
          <w:rFonts w:ascii="Times New Roman" w:hAnsi="Times New Roman" w:cs="Times New Roman"/>
          <w:b/>
          <w:bCs/>
          <w:sz w:val="24"/>
          <w:szCs w:val="24"/>
        </w:rPr>
        <w:t>, relativo alla competenza, della legge applicabile, del riconoscimento e dell'esecuzione delle decisioni in materia di regimi patrimoniali tra coniugi;</w:t>
      </w:r>
    </w:p>
    <w:p w14:paraId="6D2DBFF4" w14:textId="77777777" w:rsidR="00242654" w:rsidRDefault="00E5738A" w:rsidP="00242654">
      <w:pPr>
        <w:numPr>
          <w:ilvl w:val="0"/>
          <w:numId w:val="2"/>
        </w:numPr>
        <w:jc w:val="both"/>
        <w:rPr>
          <w:rFonts w:ascii="Times New Roman" w:hAnsi="Times New Roman" w:cs="Times New Roman"/>
          <w:b/>
          <w:bCs/>
          <w:sz w:val="24"/>
          <w:szCs w:val="24"/>
        </w:rPr>
      </w:pPr>
      <w:hyperlink r:id="rId17" w:tooltip="Regolamento 2016/1104 (la pagina non esiste)" w:history="1">
        <w:r w:rsidR="00242654" w:rsidRPr="00242654">
          <w:rPr>
            <w:rStyle w:val="Collegamentoipertestuale"/>
            <w:rFonts w:ascii="Times New Roman" w:hAnsi="Times New Roman" w:cs="Times New Roman"/>
            <w:b/>
            <w:bCs/>
            <w:color w:val="auto"/>
            <w:sz w:val="24"/>
            <w:szCs w:val="24"/>
            <w:u w:val="none"/>
          </w:rPr>
          <w:t>regolamento 2016/1104</w:t>
        </w:r>
      </w:hyperlink>
      <w:r w:rsidR="00242654" w:rsidRPr="00242654">
        <w:rPr>
          <w:rFonts w:ascii="Times New Roman" w:hAnsi="Times New Roman" w:cs="Times New Roman"/>
          <w:b/>
          <w:bCs/>
          <w:sz w:val="24"/>
          <w:szCs w:val="24"/>
        </w:rPr>
        <w:t>, relativo alla competenza, della legge applicabile, del riconoscimento e dell'esecuzione delle decisioni in materia di effetti patrimoniali delle unioni registrate.</w:t>
      </w:r>
    </w:p>
    <w:p w14:paraId="0F29EFA6" w14:textId="77777777" w:rsidR="00CE47F8" w:rsidRDefault="00CE47F8" w:rsidP="00CE47F8">
      <w:pPr>
        <w:ind w:firstLine="708"/>
        <w:jc w:val="both"/>
        <w:rPr>
          <w:rFonts w:ascii="Times New Roman" w:hAnsi="Times New Roman" w:cs="Times New Roman"/>
          <w:b/>
          <w:bCs/>
          <w:sz w:val="24"/>
          <w:szCs w:val="24"/>
        </w:rPr>
      </w:pPr>
      <w:r w:rsidRPr="00CE47F8">
        <w:rPr>
          <w:rFonts w:ascii="Times New Roman" w:hAnsi="Times New Roman" w:cs="Times New Roman"/>
          <w:b/>
          <w:bCs/>
          <w:sz w:val="24"/>
          <w:szCs w:val="24"/>
        </w:rPr>
        <w:t>L’impianto generale della giurisdizione in materia civile e commerciale, quale oggi delineato dal reg. Bruxelles I-</w:t>
      </w:r>
      <w:r w:rsidRPr="00CE47F8">
        <w:rPr>
          <w:rFonts w:ascii="Times New Roman" w:hAnsi="Times New Roman" w:cs="Times New Roman"/>
          <w:b/>
          <w:bCs/>
          <w:i/>
          <w:iCs/>
          <w:sz w:val="24"/>
          <w:szCs w:val="24"/>
        </w:rPr>
        <w:t>bis</w:t>
      </w:r>
      <w:r w:rsidR="00612B40">
        <w:rPr>
          <w:rFonts w:ascii="Times New Roman" w:hAnsi="Times New Roman" w:cs="Times New Roman"/>
          <w:b/>
          <w:bCs/>
          <w:sz w:val="24"/>
          <w:szCs w:val="24"/>
        </w:rPr>
        <w:t xml:space="preserve"> </w:t>
      </w:r>
      <w:r w:rsidRPr="00CE47F8">
        <w:rPr>
          <w:rFonts w:ascii="Times New Roman" w:hAnsi="Times New Roman" w:cs="Times New Roman"/>
          <w:b/>
          <w:bCs/>
          <w:sz w:val="24"/>
          <w:szCs w:val="24"/>
        </w:rPr>
        <w:t>corrisponde sostanzialmente a quello del reg. Bruxelles I e mira a favorire la prevedibilità delle soluzioni nello spazio giudiziario europeo, scoraggiando così il rischio di</w:t>
      </w:r>
      <w:r>
        <w:rPr>
          <w:rFonts w:ascii="Times New Roman" w:hAnsi="Times New Roman" w:cs="Times New Roman"/>
          <w:b/>
          <w:bCs/>
          <w:sz w:val="24"/>
          <w:szCs w:val="24"/>
        </w:rPr>
        <w:t xml:space="preserve"> </w:t>
      </w:r>
      <w:r w:rsidRPr="00CE47F8">
        <w:rPr>
          <w:rFonts w:ascii="Times New Roman" w:hAnsi="Times New Roman" w:cs="Times New Roman"/>
          <w:b/>
          <w:bCs/>
          <w:i/>
          <w:iCs/>
          <w:sz w:val="24"/>
          <w:szCs w:val="24"/>
        </w:rPr>
        <w:t>forum shopping</w:t>
      </w:r>
      <w:r w:rsidRPr="00CE47F8">
        <w:rPr>
          <w:rFonts w:ascii="Times New Roman" w:hAnsi="Times New Roman" w:cs="Times New Roman"/>
          <w:b/>
          <w:bCs/>
          <w:sz w:val="24"/>
          <w:szCs w:val="24"/>
        </w:rPr>
        <w:t xml:space="preserve">. </w:t>
      </w:r>
    </w:p>
    <w:p w14:paraId="56DB7E75" w14:textId="77777777" w:rsidR="00CE47F8" w:rsidRDefault="00CE47F8" w:rsidP="00CE47F8">
      <w:pPr>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Risponde </w:t>
      </w:r>
      <w:r w:rsidRPr="00CE47F8">
        <w:rPr>
          <w:rFonts w:ascii="Times New Roman" w:hAnsi="Times New Roman" w:cs="Times New Roman"/>
          <w:b/>
          <w:bCs/>
          <w:sz w:val="24"/>
          <w:szCs w:val="24"/>
        </w:rPr>
        <w:t>all’esigenza di rispettare la condizione di applicabilità personale (domicilio del convenuto in uno Stato membro)</w:t>
      </w:r>
      <w:r>
        <w:rPr>
          <w:rFonts w:ascii="Times New Roman" w:hAnsi="Times New Roman" w:cs="Times New Roman"/>
          <w:b/>
          <w:bCs/>
          <w:sz w:val="24"/>
          <w:szCs w:val="24"/>
        </w:rPr>
        <w:t xml:space="preserve">, conciliandola con </w:t>
      </w:r>
      <w:r w:rsidRPr="00CE47F8">
        <w:rPr>
          <w:rFonts w:ascii="Times New Roman" w:hAnsi="Times New Roman" w:cs="Times New Roman"/>
          <w:b/>
          <w:bCs/>
          <w:sz w:val="24"/>
          <w:szCs w:val="24"/>
        </w:rPr>
        <w:t xml:space="preserve">criteri ispirati o da un significativo collegamento con il foro (foro generale o fori speciali), dal perseguimento di un interesse materiale (tutela della parte contraente debole) o dalla volontà delle parti. </w:t>
      </w:r>
    </w:p>
    <w:p w14:paraId="3D8F2F76" w14:textId="77777777" w:rsidR="002A7232" w:rsidRDefault="00CE47F8" w:rsidP="00CE47F8">
      <w:pPr>
        <w:ind w:firstLine="708"/>
        <w:jc w:val="both"/>
        <w:rPr>
          <w:rFonts w:ascii="Times New Roman" w:hAnsi="Times New Roman" w:cs="Times New Roman"/>
          <w:b/>
          <w:bCs/>
          <w:sz w:val="24"/>
          <w:szCs w:val="24"/>
        </w:rPr>
      </w:pPr>
      <w:r w:rsidRPr="00CE47F8">
        <w:rPr>
          <w:rFonts w:ascii="Times New Roman" w:hAnsi="Times New Roman" w:cs="Times New Roman"/>
          <w:b/>
          <w:bCs/>
          <w:sz w:val="24"/>
          <w:szCs w:val="24"/>
        </w:rPr>
        <w:t xml:space="preserve">L’esigenza di preservare l’armonia dei giudizi nello spazio comune </w:t>
      </w:r>
      <w:proofErr w:type="gramStart"/>
      <w:r w:rsidRPr="00CE47F8">
        <w:rPr>
          <w:rFonts w:ascii="Times New Roman" w:hAnsi="Times New Roman" w:cs="Times New Roman"/>
          <w:b/>
          <w:bCs/>
          <w:sz w:val="24"/>
          <w:szCs w:val="24"/>
        </w:rPr>
        <w:t>giustifica inoltre</w:t>
      </w:r>
      <w:proofErr w:type="gramEnd"/>
      <w:r w:rsidRPr="00CE47F8">
        <w:rPr>
          <w:rFonts w:ascii="Times New Roman" w:hAnsi="Times New Roman" w:cs="Times New Roman"/>
          <w:b/>
          <w:bCs/>
          <w:sz w:val="24"/>
          <w:szCs w:val="24"/>
        </w:rPr>
        <w:t xml:space="preserve"> l’operatività di norme uniformi di coordinamento tra azioni civili (litispendenza e connessione).</w:t>
      </w:r>
    </w:p>
    <w:p w14:paraId="391C9D5B" w14:textId="77777777" w:rsidR="00CE47F8" w:rsidRDefault="00612B40" w:rsidP="00CE47F8">
      <w:pPr>
        <w:ind w:firstLine="708"/>
        <w:jc w:val="both"/>
        <w:rPr>
          <w:rFonts w:ascii="Times New Roman" w:hAnsi="Times New Roman" w:cs="Times New Roman"/>
          <w:b/>
          <w:bCs/>
          <w:sz w:val="24"/>
          <w:szCs w:val="24"/>
        </w:rPr>
      </w:pPr>
      <w:r>
        <w:rPr>
          <w:rFonts w:ascii="Times New Roman" w:hAnsi="Times New Roman" w:cs="Times New Roman"/>
          <w:b/>
          <w:bCs/>
          <w:sz w:val="24"/>
          <w:szCs w:val="24"/>
        </w:rPr>
        <w:t>N</w:t>
      </w:r>
      <w:r w:rsidR="00CE47F8" w:rsidRPr="00CE47F8">
        <w:rPr>
          <w:rFonts w:ascii="Times New Roman" w:hAnsi="Times New Roman" w:cs="Times New Roman"/>
          <w:b/>
          <w:bCs/>
          <w:sz w:val="24"/>
          <w:szCs w:val="24"/>
        </w:rPr>
        <w:t xml:space="preserve">el reg. Bruxelles </w:t>
      </w:r>
      <w:proofErr w:type="spellStart"/>
      <w:r w:rsidR="00CE47F8" w:rsidRPr="00CE47F8">
        <w:rPr>
          <w:rFonts w:ascii="Times New Roman" w:hAnsi="Times New Roman" w:cs="Times New Roman"/>
          <w:b/>
          <w:bCs/>
          <w:sz w:val="24"/>
          <w:szCs w:val="24"/>
        </w:rPr>
        <w:t>II-</w:t>
      </w:r>
      <w:r w:rsidR="00CE47F8" w:rsidRPr="00CE47F8">
        <w:rPr>
          <w:rFonts w:ascii="Times New Roman" w:hAnsi="Times New Roman" w:cs="Times New Roman"/>
          <w:b/>
          <w:bCs/>
          <w:i/>
          <w:iCs/>
          <w:sz w:val="24"/>
          <w:szCs w:val="24"/>
        </w:rPr>
        <w:t>bis.</w:t>
      </w:r>
      <w:r w:rsidR="00CE47F8" w:rsidRPr="00CE47F8">
        <w:rPr>
          <w:rFonts w:ascii="Times New Roman" w:hAnsi="Times New Roman" w:cs="Times New Roman"/>
          <w:b/>
          <w:bCs/>
          <w:sz w:val="24"/>
          <w:szCs w:val="24"/>
        </w:rPr>
        <w:t>e</w:t>
      </w:r>
      <w:proofErr w:type="spellEnd"/>
      <w:r w:rsidR="00CE47F8" w:rsidRPr="00CE47F8">
        <w:rPr>
          <w:rFonts w:ascii="Times New Roman" w:hAnsi="Times New Roman" w:cs="Times New Roman"/>
          <w:b/>
          <w:bCs/>
          <w:sz w:val="24"/>
          <w:szCs w:val="24"/>
        </w:rPr>
        <w:t xml:space="preserve"> nel reg. 4/2009</w:t>
      </w:r>
      <w:r>
        <w:rPr>
          <w:rFonts w:ascii="Times New Roman" w:hAnsi="Times New Roman" w:cs="Times New Roman"/>
          <w:b/>
          <w:bCs/>
          <w:sz w:val="24"/>
          <w:szCs w:val="24"/>
        </w:rPr>
        <w:t xml:space="preserve"> si è arrivati a </w:t>
      </w:r>
      <w:r w:rsidR="00CE47F8" w:rsidRPr="00CE47F8">
        <w:rPr>
          <w:rFonts w:ascii="Times New Roman" w:hAnsi="Times New Roman" w:cs="Times New Roman"/>
          <w:b/>
          <w:bCs/>
          <w:sz w:val="24"/>
          <w:szCs w:val="24"/>
        </w:rPr>
        <w:t>rafforza</w:t>
      </w:r>
      <w:r>
        <w:rPr>
          <w:rFonts w:ascii="Times New Roman" w:hAnsi="Times New Roman" w:cs="Times New Roman"/>
          <w:b/>
          <w:bCs/>
          <w:sz w:val="24"/>
          <w:szCs w:val="24"/>
        </w:rPr>
        <w:t>re</w:t>
      </w:r>
      <w:r w:rsidR="00CE47F8" w:rsidRPr="00CE47F8">
        <w:rPr>
          <w:rFonts w:ascii="Times New Roman" w:hAnsi="Times New Roman" w:cs="Times New Roman"/>
          <w:b/>
          <w:bCs/>
          <w:sz w:val="24"/>
          <w:szCs w:val="24"/>
        </w:rPr>
        <w:t xml:space="preserve"> la libera circolazione delle decisioni nell’UE attraverso l’abolizione, in via generalizzata, dell’</w:t>
      </w:r>
      <w:r w:rsidR="00CE47F8" w:rsidRPr="00CE47F8">
        <w:rPr>
          <w:rFonts w:ascii="Times New Roman" w:hAnsi="Times New Roman" w:cs="Times New Roman"/>
          <w:b/>
          <w:bCs/>
          <w:i/>
          <w:iCs/>
          <w:sz w:val="24"/>
          <w:szCs w:val="24"/>
        </w:rPr>
        <w:t>exequatur</w:t>
      </w:r>
      <w:r>
        <w:rPr>
          <w:rFonts w:ascii="Times New Roman" w:hAnsi="Times New Roman" w:cs="Times New Roman"/>
          <w:b/>
          <w:bCs/>
          <w:sz w:val="24"/>
          <w:szCs w:val="24"/>
        </w:rPr>
        <w:t xml:space="preserve"> </w:t>
      </w:r>
      <w:r w:rsidR="00CE47F8" w:rsidRPr="00CE47F8">
        <w:rPr>
          <w:rFonts w:ascii="Times New Roman" w:hAnsi="Times New Roman" w:cs="Times New Roman"/>
          <w:b/>
          <w:bCs/>
          <w:sz w:val="24"/>
          <w:szCs w:val="24"/>
        </w:rPr>
        <w:t>(esecuzione automatica), confinando la possibilità di una verifica giudiziale delle cause ostative ad un eventuale giudizio di diniego dell’esecuzione.</w:t>
      </w:r>
    </w:p>
    <w:p w14:paraId="19CD7D95" w14:textId="77777777" w:rsidR="00612B40" w:rsidRDefault="00612B40" w:rsidP="00CE47F8">
      <w:pPr>
        <w:ind w:firstLine="708"/>
        <w:jc w:val="both"/>
        <w:rPr>
          <w:rFonts w:ascii="Times New Roman" w:hAnsi="Times New Roman" w:cs="Times New Roman"/>
          <w:b/>
          <w:bCs/>
          <w:sz w:val="24"/>
          <w:szCs w:val="24"/>
        </w:rPr>
      </w:pPr>
      <w:r w:rsidRPr="00612B40">
        <w:rPr>
          <w:rFonts w:ascii="Times New Roman" w:hAnsi="Times New Roman" w:cs="Times New Roman"/>
          <w:b/>
          <w:bCs/>
          <w:sz w:val="24"/>
          <w:szCs w:val="24"/>
        </w:rPr>
        <w:t>Gli strumenti europei sul conflitto di leggi (</w:t>
      </w:r>
      <w:r>
        <w:rPr>
          <w:rFonts w:ascii="Times New Roman" w:hAnsi="Times New Roman" w:cs="Times New Roman"/>
          <w:b/>
          <w:bCs/>
          <w:sz w:val="24"/>
          <w:szCs w:val="24"/>
        </w:rPr>
        <w:t xml:space="preserve">es. </w:t>
      </w:r>
      <w:r w:rsidRPr="00612B40">
        <w:rPr>
          <w:rFonts w:ascii="Times New Roman" w:hAnsi="Times New Roman" w:cs="Times New Roman"/>
          <w:b/>
          <w:bCs/>
          <w:sz w:val="24"/>
          <w:szCs w:val="24"/>
        </w:rPr>
        <w:t>Roma I, Roma II e Roma III) presentano una vocazione universale (natura</w:t>
      </w:r>
      <w:r w:rsidR="00030C23">
        <w:rPr>
          <w:rFonts w:ascii="Times New Roman" w:hAnsi="Times New Roman" w:cs="Times New Roman"/>
          <w:b/>
          <w:bCs/>
          <w:sz w:val="24"/>
          <w:szCs w:val="24"/>
        </w:rPr>
        <w:t xml:space="preserve"> </w:t>
      </w:r>
      <w:r w:rsidRPr="00612B40">
        <w:rPr>
          <w:rFonts w:ascii="Times New Roman" w:hAnsi="Times New Roman" w:cs="Times New Roman"/>
          <w:b/>
          <w:bCs/>
          <w:i/>
          <w:iCs/>
          <w:sz w:val="24"/>
          <w:szCs w:val="24"/>
        </w:rPr>
        <w:t>erga omnes</w:t>
      </w:r>
      <w:r w:rsidRPr="00612B40">
        <w:rPr>
          <w:rFonts w:ascii="Times New Roman" w:hAnsi="Times New Roman" w:cs="Times New Roman"/>
          <w:b/>
          <w:bCs/>
          <w:sz w:val="24"/>
          <w:szCs w:val="24"/>
        </w:rPr>
        <w:t>), potendo le loro norme di conflitto designare come legge applicabile sia la legge di uno Stato membro (partecipante o non alla cooperazione rafforzata, nel caso del reg. Roma III) sia la legge di uno Stato terzo</w:t>
      </w:r>
      <w:r>
        <w:rPr>
          <w:rFonts w:ascii="Times New Roman" w:hAnsi="Times New Roman" w:cs="Times New Roman"/>
          <w:b/>
          <w:bCs/>
          <w:sz w:val="24"/>
          <w:szCs w:val="24"/>
        </w:rPr>
        <w:t>.</w:t>
      </w:r>
    </w:p>
    <w:p w14:paraId="7B578894" w14:textId="77777777" w:rsidR="00030C23" w:rsidRDefault="00612B40" w:rsidP="00CE47F8">
      <w:pPr>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Inoltre, </w:t>
      </w:r>
      <w:r w:rsidRPr="00612B40">
        <w:rPr>
          <w:rFonts w:ascii="Times New Roman" w:hAnsi="Times New Roman" w:cs="Times New Roman"/>
          <w:b/>
          <w:bCs/>
          <w:sz w:val="24"/>
          <w:szCs w:val="24"/>
        </w:rPr>
        <w:t>valorizzano l’autonomia della volontà</w:t>
      </w:r>
      <w:r>
        <w:rPr>
          <w:rFonts w:ascii="Times New Roman" w:hAnsi="Times New Roman" w:cs="Times New Roman"/>
          <w:b/>
          <w:bCs/>
          <w:sz w:val="24"/>
          <w:szCs w:val="24"/>
        </w:rPr>
        <w:t xml:space="preserve"> (</w:t>
      </w:r>
      <w:proofErr w:type="spellStart"/>
      <w:r w:rsidRPr="00DD1378">
        <w:rPr>
          <w:rFonts w:ascii="Times New Roman" w:hAnsi="Times New Roman" w:cs="Times New Roman"/>
          <w:b/>
          <w:bCs/>
          <w:i/>
          <w:iCs/>
          <w:sz w:val="24"/>
          <w:szCs w:val="24"/>
        </w:rPr>
        <w:t>lex</w:t>
      </w:r>
      <w:proofErr w:type="spellEnd"/>
      <w:r w:rsidRPr="00DD1378">
        <w:rPr>
          <w:rFonts w:ascii="Times New Roman" w:hAnsi="Times New Roman" w:cs="Times New Roman"/>
          <w:b/>
          <w:bCs/>
          <w:i/>
          <w:iCs/>
          <w:sz w:val="24"/>
          <w:szCs w:val="24"/>
        </w:rPr>
        <w:t xml:space="preserve"> </w:t>
      </w:r>
      <w:proofErr w:type="spellStart"/>
      <w:r w:rsidRPr="00DD1378">
        <w:rPr>
          <w:rFonts w:ascii="Times New Roman" w:hAnsi="Times New Roman" w:cs="Times New Roman"/>
          <w:b/>
          <w:bCs/>
          <w:i/>
          <w:iCs/>
          <w:sz w:val="24"/>
          <w:szCs w:val="24"/>
        </w:rPr>
        <w:t>voluntatis</w:t>
      </w:r>
      <w:proofErr w:type="spellEnd"/>
      <w:r>
        <w:rPr>
          <w:rFonts w:ascii="Times New Roman" w:hAnsi="Times New Roman" w:cs="Times New Roman"/>
          <w:b/>
          <w:bCs/>
          <w:sz w:val="24"/>
          <w:szCs w:val="24"/>
        </w:rPr>
        <w:t>)</w:t>
      </w:r>
      <w:r w:rsidRPr="00612B40">
        <w:rPr>
          <w:rFonts w:ascii="Times New Roman" w:hAnsi="Times New Roman" w:cs="Times New Roman"/>
          <w:b/>
          <w:bCs/>
          <w:sz w:val="24"/>
          <w:szCs w:val="24"/>
        </w:rPr>
        <w:t xml:space="preserve">, come criterio di collegamento prevalente ai fini della designazione della legge applicabile. </w:t>
      </w:r>
    </w:p>
    <w:p w14:paraId="681F9298" w14:textId="77777777" w:rsidR="00612B40" w:rsidRDefault="00612B40" w:rsidP="00CE47F8">
      <w:pPr>
        <w:ind w:firstLine="708"/>
        <w:jc w:val="both"/>
        <w:rPr>
          <w:rFonts w:ascii="Times New Roman" w:hAnsi="Times New Roman" w:cs="Times New Roman"/>
          <w:b/>
          <w:bCs/>
          <w:sz w:val="24"/>
          <w:szCs w:val="24"/>
        </w:rPr>
      </w:pPr>
      <w:r w:rsidRPr="00612B40">
        <w:rPr>
          <w:rFonts w:ascii="Times New Roman" w:hAnsi="Times New Roman" w:cs="Times New Roman"/>
          <w:b/>
          <w:bCs/>
          <w:sz w:val="24"/>
          <w:szCs w:val="24"/>
        </w:rPr>
        <w:t xml:space="preserve">In secondo luogo, quanto ai criteri di collegamento oggettivi, le norme uniformi segnano la preferenza per il criterio della residenza abituale sul criterio della cittadinanza, </w:t>
      </w:r>
      <w:r>
        <w:rPr>
          <w:rFonts w:ascii="Times New Roman" w:hAnsi="Times New Roman" w:cs="Times New Roman"/>
          <w:b/>
          <w:bCs/>
          <w:sz w:val="24"/>
          <w:szCs w:val="24"/>
        </w:rPr>
        <w:t>il che</w:t>
      </w:r>
      <w:r w:rsidRPr="00612B40">
        <w:rPr>
          <w:rFonts w:ascii="Times New Roman" w:hAnsi="Times New Roman" w:cs="Times New Roman"/>
          <w:b/>
          <w:bCs/>
          <w:sz w:val="24"/>
          <w:szCs w:val="24"/>
        </w:rPr>
        <w:t xml:space="preserve"> che favorisce, nella materia familiare, la frequente coincidenza tra</w:t>
      </w:r>
      <w:r>
        <w:rPr>
          <w:rFonts w:ascii="Times New Roman" w:hAnsi="Times New Roman" w:cs="Times New Roman"/>
          <w:b/>
          <w:bCs/>
          <w:sz w:val="24"/>
          <w:szCs w:val="24"/>
        </w:rPr>
        <w:t xml:space="preserve"> </w:t>
      </w:r>
      <w:r w:rsidRPr="00612B40">
        <w:rPr>
          <w:rFonts w:ascii="Times New Roman" w:hAnsi="Times New Roman" w:cs="Times New Roman"/>
          <w:b/>
          <w:bCs/>
          <w:i/>
          <w:iCs/>
          <w:sz w:val="24"/>
          <w:szCs w:val="24"/>
        </w:rPr>
        <w:t>forum</w:t>
      </w:r>
      <w:r>
        <w:rPr>
          <w:rFonts w:ascii="Times New Roman" w:hAnsi="Times New Roman" w:cs="Times New Roman"/>
          <w:b/>
          <w:bCs/>
          <w:sz w:val="24"/>
          <w:szCs w:val="24"/>
        </w:rPr>
        <w:t xml:space="preserve"> </w:t>
      </w:r>
      <w:r w:rsidRPr="00612B40">
        <w:rPr>
          <w:rFonts w:ascii="Times New Roman" w:hAnsi="Times New Roman" w:cs="Times New Roman"/>
          <w:b/>
          <w:bCs/>
          <w:sz w:val="24"/>
          <w:szCs w:val="24"/>
        </w:rPr>
        <w:t>e</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j</w:t>
      </w:r>
      <w:r w:rsidRPr="00612B40">
        <w:rPr>
          <w:rFonts w:ascii="Times New Roman" w:hAnsi="Times New Roman" w:cs="Times New Roman"/>
          <w:b/>
          <w:bCs/>
          <w:i/>
          <w:iCs/>
          <w:sz w:val="24"/>
          <w:szCs w:val="24"/>
        </w:rPr>
        <w:t>us</w:t>
      </w:r>
      <w:proofErr w:type="spellEnd"/>
      <w:r w:rsidRPr="00612B40">
        <w:rPr>
          <w:rFonts w:ascii="Times New Roman" w:hAnsi="Times New Roman" w:cs="Times New Roman"/>
          <w:b/>
          <w:bCs/>
          <w:sz w:val="24"/>
          <w:szCs w:val="24"/>
        </w:rPr>
        <w:t>.</w:t>
      </w:r>
    </w:p>
    <w:p w14:paraId="1E47C2BD" w14:textId="77777777" w:rsidR="00612B40" w:rsidRDefault="00DD1378" w:rsidP="00CE47F8">
      <w:pPr>
        <w:ind w:firstLine="708"/>
        <w:jc w:val="both"/>
        <w:rPr>
          <w:rFonts w:ascii="Times New Roman" w:hAnsi="Times New Roman" w:cs="Times New Roman"/>
          <w:b/>
          <w:bCs/>
          <w:sz w:val="24"/>
          <w:szCs w:val="24"/>
        </w:rPr>
      </w:pPr>
      <w:r>
        <w:rPr>
          <w:rFonts w:ascii="Times New Roman" w:hAnsi="Times New Roman" w:cs="Times New Roman"/>
          <w:b/>
          <w:bCs/>
          <w:sz w:val="24"/>
          <w:szCs w:val="24"/>
        </w:rPr>
        <w:t>CASI</w:t>
      </w:r>
      <w:r w:rsidR="00EF367D">
        <w:rPr>
          <w:rFonts w:ascii="Times New Roman" w:hAnsi="Times New Roman" w:cs="Times New Roman"/>
          <w:b/>
          <w:bCs/>
          <w:sz w:val="24"/>
          <w:szCs w:val="24"/>
        </w:rPr>
        <w:t xml:space="preserve"> – va distinta la regola sulla competenza internazionale dalla legge applicabile</w:t>
      </w:r>
    </w:p>
    <w:p w14:paraId="42068741" w14:textId="77777777" w:rsidR="00DD1378" w:rsidRDefault="00DD1378" w:rsidP="00CE47F8">
      <w:pPr>
        <w:ind w:firstLine="708"/>
        <w:jc w:val="both"/>
        <w:rPr>
          <w:rFonts w:ascii="Times New Roman" w:hAnsi="Times New Roman" w:cs="Times New Roman"/>
          <w:b/>
          <w:bCs/>
          <w:sz w:val="24"/>
          <w:szCs w:val="24"/>
        </w:rPr>
      </w:pPr>
      <w:r w:rsidRPr="00DD1378">
        <w:rPr>
          <w:rFonts w:ascii="Times New Roman" w:hAnsi="Times New Roman" w:cs="Times New Roman"/>
          <w:b/>
          <w:bCs/>
          <w:sz w:val="24"/>
          <w:szCs w:val="24"/>
        </w:rPr>
        <w:t>La disposizione del regolamento (CE) n. 864/2007 sulla legge applicabile alle obbligazioni extracontrattuali (Roma II) relativa alla responsabilità da prodotto</w:t>
      </w:r>
      <w:r>
        <w:rPr>
          <w:rFonts w:ascii="Times New Roman" w:hAnsi="Times New Roman" w:cs="Times New Roman"/>
          <w:b/>
          <w:bCs/>
          <w:sz w:val="24"/>
          <w:szCs w:val="24"/>
        </w:rPr>
        <w:t xml:space="preserve">: </w:t>
      </w:r>
    </w:p>
    <w:p w14:paraId="0F7FA41B" w14:textId="77777777" w:rsidR="00DD1378" w:rsidRPr="00DD1378" w:rsidRDefault="00DD1378" w:rsidP="00DD1378">
      <w:pPr>
        <w:ind w:firstLine="708"/>
        <w:jc w:val="both"/>
        <w:rPr>
          <w:rFonts w:ascii="Times New Roman" w:hAnsi="Times New Roman" w:cs="Times New Roman"/>
          <w:b/>
          <w:bCs/>
          <w:i/>
          <w:iCs/>
          <w:sz w:val="24"/>
          <w:szCs w:val="24"/>
        </w:rPr>
      </w:pPr>
      <w:r w:rsidRPr="00DD1378">
        <w:rPr>
          <w:rFonts w:ascii="Times New Roman" w:hAnsi="Times New Roman" w:cs="Times New Roman"/>
          <w:b/>
          <w:bCs/>
          <w:i/>
          <w:iCs/>
          <w:sz w:val="24"/>
          <w:szCs w:val="24"/>
        </w:rPr>
        <w:t>Articolo 5</w:t>
      </w:r>
    </w:p>
    <w:p w14:paraId="2EC74AF8" w14:textId="77777777" w:rsidR="00DD1378" w:rsidRPr="00DD1378" w:rsidRDefault="00DD1378" w:rsidP="00DD1378">
      <w:pPr>
        <w:ind w:firstLine="708"/>
        <w:jc w:val="both"/>
        <w:rPr>
          <w:rFonts w:ascii="Times New Roman" w:hAnsi="Times New Roman" w:cs="Times New Roman"/>
          <w:b/>
          <w:bCs/>
          <w:sz w:val="24"/>
          <w:szCs w:val="24"/>
        </w:rPr>
      </w:pPr>
      <w:r w:rsidRPr="00DD1378">
        <w:rPr>
          <w:rFonts w:ascii="Times New Roman" w:hAnsi="Times New Roman" w:cs="Times New Roman"/>
          <w:b/>
          <w:bCs/>
          <w:sz w:val="24"/>
          <w:szCs w:val="24"/>
        </w:rPr>
        <w:t>Responsabilit</w:t>
      </w:r>
      <w:r w:rsidRPr="00DD1378">
        <w:rPr>
          <w:rFonts w:ascii="Times New Roman" w:hAnsi="Times New Roman" w:cs="Times New Roman" w:hint="eastAsia"/>
          <w:b/>
          <w:bCs/>
          <w:sz w:val="24"/>
          <w:szCs w:val="24"/>
        </w:rPr>
        <w:t>à</w:t>
      </w:r>
      <w:r w:rsidRPr="00DD1378">
        <w:rPr>
          <w:rFonts w:ascii="Times New Roman" w:hAnsi="Times New Roman" w:cs="Times New Roman"/>
          <w:b/>
          <w:bCs/>
          <w:sz w:val="24"/>
          <w:szCs w:val="24"/>
        </w:rPr>
        <w:t xml:space="preserve"> da prodotti</w:t>
      </w:r>
    </w:p>
    <w:p w14:paraId="2E93D78C" w14:textId="77777777" w:rsidR="00DD1378" w:rsidRPr="00DD1378" w:rsidRDefault="00DD1378" w:rsidP="00DD1378">
      <w:pPr>
        <w:ind w:firstLine="708"/>
        <w:jc w:val="both"/>
        <w:rPr>
          <w:rFonts w:ascii="Times New Roman" w:hAnsi="Times New Roman" w:cs="Times New Roman"/>
          <w:b/>
          <w:bCs/>
          <w:sz w:val="24"/>
          <w:szCs w:val="24"/>
        </w:rPr>
      </w:pPr>
      <w:r w:rsidRPr="00DD1378">
        <w:rPr>
          <w:rFonts w:ascii="Times New Roman" w:hAnsi="Times New Roman" w:cs="Times New Roman"/>
          <w:b/>
          <w:bCs/>
          <w:sz w:val="24"/>
          <w:szCs w:val="24"/>
        </w:rPr>
        <w:lastRenderedPageBreak/>
        <w:t>1. Fatto salvo l</w:t>
      </w:r>
      <w:r w:rsidR="00EF367D">
        <w:rPr>
          <w:rFonts w:ascii="Times New Roman" w:hAnsi="Times New Roman" w:cs="Times New Roman"/>
          <w:b/>
          <w:bCs/>
          <w:sz w:val="24"/>
          <w:szCs w:val="24"/>
        </w:rPr>
        <w:t>’</w:t>
      </w:r>
      <w:r w:rsidRPr="00DD1378">
        <w:rPr>
          <w:rFonts w:ascii="Times New Roman" w:hAnsi="Times New Roman" w:cs="Times New Roman"/>
          <w:b/>
          <w:bCs/>
          <w:sz w:val="24"/>
          <w:szCs w:val="24"/>
        </w:rPr>
        <w:t>articolo 4, paragrafo 2, la legge applicabile</w:t>
      </w:r>
      <w:r>
        <w:rPr>
          <w:rFonts w:ascii="Times New Roman" w:hAnsi="Times New Roman" w:cs="Times New Roman"/>
          <w:b/>
          <w:bCs/>
          <w:sz w:val="24"/>
          <w:szCs w:val="24"/>
        </w:rPr>
        <w:t xml:space="preserve"> a</w:t>
      </w:r>
      <w:r w:rsidRPr="00DD1378">
        <w:rPr>
          <w:rFonts w:ascii="Times New Roman" w:hAnsi="Times New Roman" w:cs="Times New Roman"/>
          <w:b/>
          <w:bCs/>
          <w:sz w:val="24"/>
          <w:szCs w:val="24"/>
        </w:rPr>
        <w:t>ll</w:t>
      </w:r>
      <w:r>
        <w:rPr>
          <w:rFonts w:ascii="Times New Roman" w:hAnsi="Times New Roman" w:cs="Times New Roman"/>
          <w:b/>
          <w:bCs/>
          <w:sz w:val="24"/>
          <w:szCs w:val="24"/>
        </w:rPr>
        <w:t>’</w:t>
      </w:r>
      <w:r w:rsidRPr="00DD1378">
        <w:rPr>
          <w:rFonts w:ascii="Times New Roman" w:hAnsi="Times New Roman" w:cs="Times New Roman"/>
          <w:b/>
          <w:bCs/>
          <w:sz w:val="24"/>
          <w:szCs w:val="24"/>
        </w:rPr>
        <w:t>obbligazione extracontrattuale che deriva da danni causati da</w:t>
      </w:r>
      <w:r>
        <w:rPr>
          <w:rFonts w:ascii="Times New Roman" w:hAnsi="Times New Roman" w:cs="Times New Roman"/>
          <w:b/>
          <w:bCs/>
          <w:sz w:val="24"/>
          <w:szCs w:val="24"/>
        </w:rPr>
        <w:t xml:space="preserve"> </w:t>
      </w:r>
      <w:r w:rsidRPr="00DD1378">
        <w:rPr>
          <w:rFonts w:ascii="Times New Roman" w:hAnsi="Times New Roman" w:cs="Times New Roman"/>
          <w:b/>
          <w:bCs/>
          <w:sz w:val="24"/>
          <w:szCs w:val="24"/>
        </w:rPr>
        <w:t xml:space="preserve">un prodotto </w:t>
      </w:r>
      <w:r w:rsidRPr="00DD1378">
        <w:rPr>
          <w:rFonts w:ascii="Times New Roman" w:hAnsi="Times New Roman" w:cs="Times New Roman" w:hint="eastAsia"/>
          <w:b/>
          <w:bCs/>
          <w:sz w:val="24"/>
          <w:szCs w:val="24"/>
        </w:rPr>
        <w:t>è</w:t>
      </w:r>
      <w:r w:rsidRPr="00DD1378">
        <w:rPr>
          <w:rFonts w:ascii="Times New Roman" w:hAnsi="Times New Roman" w:cs="Times New Roman"/>
          <w:b/>
          <w:bCs/>
          <w:sz w:val="24"/>
          <w:szCs w:val="24"/>
        </w:rPr>
        <w:t>:</w:t>
      </w:r>
    </w:p>
    <w:p w14:paraId="78C0EC53" w14:textId="77777777" w:rsidR="00DD1378" w:rsidRPr="00DD1378" w:rsidRDefault="00DD1378" w:rsidP="00DD1378">
      <w:pPr>
        <w:ind w:firstLine="708"/>
        <w:jc w:val="both"/>
        <w:rPr>
          <w:rFonts w:ascii="Times New Roman" w:hAnsi="Times New Roman" w:cs="Times New Roman"/>
          <w:b/>
          <w:bCs/>
          <w:sz w:val="24"/>
          <w:szCs w:val="24"/>
        </w:rPr>
      </w:pPr>
      <w:r w:rsidRPr="00DD1378">
        <w:rPr>
          <w:rFonts w:ascii="Times New Roman" w:hAnsi="Times New Roman" w:cs="Times New Roman"/>
          <w:b/>
          <w:bCs/>
          <w:sz w:val="24"/>
          <w:szCs w:val="24"/>
        </w:rPr>
        <w:t>a) la legge del paese in cui la persona che ha subito il danno</w:t>
      </w:r>
      <w:r>
        <w:rPr>
          <w:rFonts w:ascii="Times New Roman" w:hAnsi="Times New Roman" w:cs="Times New Roman"/>
          <w:b/>
          <w:bCs/>
          <w:sz w:val="24"/>
          <w:szCs w:val="24"/>
        </w:rPr>
        <w:t xml:space="preserve"> </w:t>
      </w:r>
      <w:r w:rsidRPr="00DD1378">
        <w:rPr>
          <w:rFonts w:ascii="Times New Roman" w:hAnsi="Times New Roman" w:cs="Times New Roman"/>
          <w:b/>
          <w:bCs/>
          <w:sz w:val="24"/>
          <w:szCs w:val="24"/>
        </w:rPr>
        <w:t xml:space="preserve">risiedeva abitualmente quando si </w:t>
      </w:r>
      <w:r w:rsidRPr="00DD1378">
        <w:rPr>
          <w:rFonts w:ascii="Times New Roman" w:hAnsi="Times New Roman" w:cs="Times New Roman" w:hint="eastAsia"/>
          <w:b/>
          <w:bCs/>
          <w:sz w:val="24"/>
          <w:szCs w:val="24"/>
        </w:rPr>
        <w:t>è</w:t>
      </w:r>
      <w:r w:rsidRPr="00DD1378">
        <w:rPr>
          <w:rFonts w:ascii="Times New Roman" w:hAnsi="Times New Roman" w:cs="Times New Roman"/>
          <w:b/>
          <w:bCs/>
          <w:sz w:val="24"/>
          <w:szCs w:val="24"/>
        </w:rPr>
        <w:t xml:space="preserve"> verificato il danno, se il</w:t>
      </w:r>
      <w:r>
        <w:rPr>
          <w:rFonts w:ascii="Times New Roman" w:hAnsi="Times New Roman" w:cs="Times New Roman"/>
          <w:b/>
          <w:bCs/>
          <w:sz w:val="24"/>
          <w:szCs w:val="24"/>
        </w:rPr>
        <w:t xml:space="preserve"> </w:t>
      </w:r>
      <w:r w:rsidRPr="00DD1378">
        <w:rPr>
          <w:rFonts w:ascii="Times New Roman" w:hAnsi="Times New Roman" w:cs="Times New Roman"/>
          <w:b/>
          <w:bCs/>
          <w:sz w:val="24"/>
          <w:szCs w:val="24"/>
        </w:rPr>
        <w:t xml:space="preserve">prodotto </w:t>
      </w:r>
      <w:r w:rsidRPr="00DD1378">
        <w:rPr>
          <w:rFonts w:ascii="Times New Roman" w:hAnsi="Times New Roman" w:cs="Times New Roman" w:hint="eastAsia"/>
          <w:b/>
          <w:bCs/>
          <w:sz w:val="24"/>
          <w:szCs w:val="24"/>
        </w:rPr>
        <w:t>è</w:t>
      </w:r>
      <w:r w:rsidRPr="00DD1378">
        <w:rPr>
          <w:rFonts w:ascii="Times New Roman" w:hAnsi="Times New Roman" w:cs="Times New Roman"/>
          <w:b/>
          <w:bCs/>
          <w:sz w:val="24"/>
          <w:szCs w:val="24"/>
        </w:rPr>
        <w:t xml:space="preserve"> stato commercializzato in tale paese; o, in</w:t>
      </w:r>
      <w:r>
        <w:rPr>
          <w:rFonts w:ascii="Times New Roman" w:hAnsi="Times New Roman" w:cs="Times New Roman"/>
          <w:b/>
          <w:bCs/>
          <w:sz w:val="24"/>
          <w:szCs w:val="24"/>
        </w:rPr>
        <w:t xml:space="preserve"> </w:t>
      </w:r>
      <w:r w:rsidRPr="00DD1378">
        <w:rPr>
          <w:rFonts w:ascii="Times New Roman" w:hAnsi="Times New Roman" w:cs="Times New Roman"/>
          <w:b/>
          <w:bCs/>
          <w:sz w:val="24"/>
          <w:szCs w:val="24"/>
        </w:rPr>
        <w:t>mancanza,</w:t>
      </w:r>
    </w:p>
    <w:p w14:paraId="1C371D85" w14:textId="77777777" w:rsidR="00DD1378" w:rsidRPr="00DD1378" w:rsidRDefault="00DD1378" w:rsidP="00DD1378">
      <w:pPr>
        <w:ind w:firstLine="708"/>
        <w:jc w:val="both"/>
        <w:rPr>
          <w:rFonts w:ascii="Times New Roman" w:hAnsi="Times New Roman" w:cs="Times New Roman"/>
          <w:b/>
          <w:bCs/>
          <w:sz w:val="24"/>
          <w:szCs w:val="24"/>
        </w:rPr>
      </w:pPr>
      <w:r w:rsidRPr="00DD1378">
        <w:rPr>
          <w:rFonts w:ascii="Times New Roman" w:hAnsi="Times New Roman" w:cs="Times New Roman"/>
          <w:b/>
          <w:bCs/>
          <w:sz w:val="24"/>
          <w:szCs w:val="24"/>
        </w:rPr>
        <w:t xml:space="preserve">b) la legge del paese in cui </w:t>
      </w:r>
      <w:r w:rsidRPr="00DD1378">
        <w:rPr>
          <w:rFonts w:ascii="Times New Roman" w:hAnsi="Times New Roman" w:cs="Times New Roman" w:hint="eastAsia"/>
          <w:b/>
          <w:bCs/>
          <w:sz w:val="24"/>
          <w:szCs w:val="24"/>
        </w:rPr>
        <w:t>è</w:t>
      </w:r>
      <w:r w:rsidRPr="00DD1378">
        <w:rPr>
          <w:rFonts w:ascii="Times New Roman" w:hAnsi="Times New Roman" w:cs="Times New Roman"/>
          <w:b/>
          <w:bCs/>
          <w:sz w:val="24"/>
          <w:szCs w:val="24"/>
        </w:rPr>
        <w:t xml:space="preserve"> stato acquistato il prodotto, se il</w:t>
      </w:r>
      <w:r>
        <w:rPr>
          <w:rFonts w:ascii="Times New Roman" w:hAnsi="Times New Roman" w:cs="Times New Roman"/>
          <w:b/>
          <w:bCs/>
          <w:sz w:val="24"/>
          <w:szCs w:val="24"/>
        </w:rPr>
        <w:t xml:space="preserve"> </w:t>
      </w:r>
      <w:r w:rsidRPr="00DD1378">
        <w:rPr>
          <w:rFonts w:ascii="Times New Roman" w:hAnsi="Times New Roman" w:cs="Times New Roman"/>
          <w:b/>
          <w:bCs/>
          <w:sz w:val="24"/>
          <w:szCs w:val="24"/>
        </w:rPr>
        <w:t xml:space="preserve">prodotto </w:t>
      </w:r>
      <w:r w:rsidRPr="00DD1378">
        <w:rPr>
          <w:rFonts w:ascii="Times New Roman" w:hAnsi="Times New Roman" w:cs="Times New Roman" w:hint="eastAsia"/>
          <w:b/>
          <w:bCs/>
          <w:sz w:val="24"/>
          <w:szCs w:val="24"/>
        </w:rPr>
        <w:t>è</w:t>
      </w:r>
      <w:r w:rsidRPr="00DD1378">
        <w:rPr>
          <w:rFonts w:ascii="Times New Roman" w:hAnsi="Times New Roman" w:cs="Times New Roman"/>
          <w:b/>
          <w:bCs/>
          <w:sz w:val="24"/>
          <w:szCs w:val="24"/>
        </w:rPr>
        <w:t xml:space="preserve"> stato commercializzato in tale paese; o, in</w:t>
      </w:r>
      <w:r>
        <w:rPr>
          <w:rFonts w:ascii="Times New Roman" w:hAnsi="Times New Roman" w:cs="Times New Roman"/>
          <w:b/>
          <w:bCs/>
          <w:sz w:val="24"/>
          <w:szCs w:val="24"/>
        </w:rPr>
        <w:t xml:space="preserve"> </w:t>
      </w:r>
      <w:r w:rsidRPr="00DD1378">
        <w:rPr>
          <w:rFonts w:ascii="Times New Roman" w:hAnsi="Times New Roman" w:cs="Times New Roman"/>
          <w:b/>
          <w:bCs/>
          <w:sz w:val="24"/>
          <w:szCs w:val="24"/>
        </w:rPr>
        <w:t>mancanza,</w:t>
      </w:r>
    </w:p>
    <w:p w14:paraId="09744A6A" w14:textId="77777777" w:rsidR="00DD1378" w:rsidRPr="00DD1378" w:rsidRDefault="00DD1378" w:rsidP="00DD1378">
      <w:pPr>
        <w:ind w:firstLine="708"/>
        <w:jc w:val="both"/>
        <w:rPr>
          <w:rFonts w:ascii="Times New Roman" w:hAnsi="Times New Roman" w:cs="Times New Roman"/>
          <w:b/>
          <w:bCs/>
          <w:sz w:val="24"/>
          <w:szCs w:val="24"/>
        </w:rPr>
      </w:pPr>
      <w:r w:rsidRPr="00DD1378">
        <w:rPr>
          <w:rFonts w:ascii="Times New Roman" w:hAnsi="Times New Roman" w:cs="Times New Roman"/>
          <w:b/>
          <w:bCs/>
          <w:sz w:val="24"/>
          <w:szCs w:val="24"/>
        </w:rPr>
        <w:t xml:space="preserve">c) la legge del paese in cui il danno si </w:t>
      </w:r>
      <w:r w:rsidRPr="00DD1378">
        <w:rPr>
          <w:rFonts w:ascii="Times New Roman" w:hAnsi="Times New Roman" w:cs="Times New Roman" w:hint="eastAsia"/>
          <w:b/>
          <w:bCs/>
          <w:sz w:val="24"/>
          <w:szCs w:val="24"/>
        </w:rPr>
        <w:t>è</w:t>
      </w:r>
      <w:r w:rsidRPr="00DD1378">
        <w:rPr>
          <w:rFonts w:ascii="Times New Roman" w:hAnsi="Times New Roman" w:cs="Times New Roman"/>
          <w:b/>
          <w:bCs/>
          <w:sz w:val="24"/>
          <w:szCs w:val="24"/>
        </w:rPr>
        <w:t xml:space="preserve"> verificato, se il prodotto</w:t>
      </w:r>
      <w:r>
        <w:rPr>
          <w:rFonts w:ascii="Times New Roman" w:hAnsi="Times New Roman" w:cs="Times New Roman"/>
          <w:b/>
          <w:bCs/>
          <w:sz w:val="24"/>
          <w:szCs w:val="24"/>
        </w:rPr>
        <w:t xml:space="preserve"> </w:t>
      </w:r>
      <w:r w:rsidRPr="00DD1378">
        <w:rPr>
          <w:rFonts w:ascii="Times New Roman" w:hAnsi="Times New Roman" w:cs="Times New Roman" w:hint="eastAsia"/>
          <w:b/>
          <w:bCs/>
          <w:sz w:val="24"/>
          <w:szCs w:val="24"/>
        </w:rPr>
        <w:t>è</w:t>
      </w:r>
      <w:r w:rsidRPr="00DD1378">
        <w:rPr>
          <w:rFonts w:ascii="Times New Roman" w:hAnsi="Times New Roman" w:cs="Times New Roman"/>
          <w:b/>
          <w:bCs/>
          <w:sz w:val="24"/>
          <w:szCs w:val="24"/>
        </w:rPr>
        <w:t xml:space="preserve"> stato commercializzato in tale paese.</w:t>
      </w:r>
    </w:p>
    <w:p w14:paraId="4D5788D8" w14:textId="77777777" w:rsidR="00DD1378" w:rsidRPr="00DD1378" w:rsidRDefault="00DD1378" w:rsidP="00DD1378">
      <w:pPr>
        <w:ind w:firstLine="708"/>
        <w:jc w:val="both"/>
        <w:rPr>
          <w:rFonts w:ascii="Times New Roman" w:hAnsi="Times New Roman" w:cs="Times New Roman"/>
          <w:b/>
          <w:bCs/>
          <w:sz w:val="24"/>
          <w:szCs w:val="24"/>
        </w:rPr>
      </w:pPr>
      <w:r w:rsidRPr="00DD1378">
        <w:rPr>
          <w:rFonts w:ascii="Times New Roman" w:hAnsi="Times New Roman" w:cs="Times New Roman"/>
          <w:b/>
          <w:bCs/>
          <w:sz w:val="24"/>
          <w:szCs w:val="24"/>
        </w:rPr>
        <w:t>Si applica tuttavia la legge del paese in cui il presunto responsabil</w:t>
      </w:r>
      <w:r>
        <w:rPr>
          <w:rFonts w:ascii="Times New Roman" w:hAnsi="Times New Roman" w:cs="Times New Roman"/>
          <w:b/>
          <w:bCs/>
          <w:sz w:val="24"/>
          <w:szCs w:val="24"/>
        </w:rPr>
        <w:t xml:space="preserve">e </w:t>
      </w:r>
      <w:r w:rsidRPr="00DD1378">
        <w:rPr>
          <w:rFonts w:ascii="Times New Roman" w:hAnsi="Times New Roman" w:cs="Times New Roman"/>
          <w:b/>
          <w:bCs/>
          <w:sz w:val="24"/>
          <w:szCs w:val="24"/>
        </w:rPr>
        <w:t>risiede abitualmente qualora tale persona non potesse ragionevolmente</w:t>
      </w:r>
      <w:r>
        <w:rPr>
          <w:rFonts w:ascii="Times New Roman" w:hAnsi="Times New Roman" w:cs="Times New Roman"/>
          <w:b/>
          <w:bCs/>
          <w:sz w:val="24"/>
          <w:szCs w:val="24"/>
        </w:rPr>
        <w:t xml:space="preserve"> </w:t>
      </w:r>
      <w:r w:rsidRPr="00DD1378">
        <w:rPr>
          <w:rFonts w:ascii="Times New Roman" w:hAnsi="Times New Roman" w:cs="Times New Roman"/>
          <w:b/>
          <w:bCs/>
          <w:sz w:val="24"/>
          <w:szCs w:val="24"/>
        </w:rPr>
        <w:t>prevedere la commercializzazione del prodotto o d</w:t>
      </w:r>
      <w:r>
        <w:rPr>
          <w:rFonts w:ascii="Times New Roman" w:hAnsi="Times New Roman" w:cs="Times New Roman"/>
          <w:b/>
          <w:bCs/>
          <w:sz w:val="24"/>
          <w:szCs w:val="24"/>
        </w:rPr>
        <w:t xml:space="preserve">i </w:t>
      </w:r>
      <w:r w:rsidRPr="00DD1378">
        <w:rPr>
          <w:rFonts w:ascii="Times New Roman" w:hAnsi="Times New Roman" w:cs="Times New Roman"/>
          <w:b/>
          <w:bCs/>
          <w:sz w:val="24"/>
          <w:szCs w:val="24"/>
        </w:rPr>
        <w:t xml:space="preserve">un prodotto dello stesso tipo nel paese la cui legge </w:t>
      </w:r>
      <w:r w:rsidRPr="00DD1378">
        <w:rPr>
          <w:rFonts w:ascii="Times New Roman" w:hAnsi="Times New Roman" w:cs="Times New Roman" w:hint="eastAsia"/>
          <w:b/>
          <w:bCs/>
          <w:sz w:val="24"/>
          <w:szCs w:val="24"/>
        </w:rPr>
        <w:t>è</w:t>
      </w:r>
      <w:r w:rsidRPr="00DD1378">
        <w:rPr>
          <w:rFonts w:ascii="Times New Roman" w:hAnsi="Times New Roman" w:cs="Times New Roman"/>
          <w:b/>
          <w:bCs/>
          <w:sz w:val="24"/>
          <w:szCs w:val="24"/>
        </w:rPr>
        <w:t xml:space="preserve"> applicabile</w:t>
      </w:r>
      <w:r>
        <w:rPr>
          <w:rFonts w:ascii="Times New Roman" w:hAnsi="Times New Roman" w:cs="Times New Roman"/>
          <w:b/>
          <w:bCs/>
          <w:sz w:val="24"/>
          <w:szCs w:val="24"/>
        </w:rPr>
        <w:t xml:space="preserve"> </w:t>
      </w:r>
      <w:r w:rsidRPr="00DD1378">
        <w:rPr>
          <w:rFonts w:ascii="Times New Roman" w:hAnsi="Times New Roman" w:cs="Times New Roman"/>
          <w:b/>
          <w:bCs/>
          <w:sz w:val="24"/>
          <w:szCs w:val="24"/>
        </w:rPr>
        <w:t>ai sensi delle lettere a), b) o c).</w:t>
      </w:r>
    </w:p>
    <w:p w14:paraId="3229931F" w14:textId="77777777" w:rsidR="00DD1378" w:rsidRDefault="00DD1378" w:rsidP="00DD1378">
      <w:pPr>
        <w:ind w:firstLine="708"/>
        <w:jc w:val="both"/>
        <w:rPr>
          <w:rFonts w:ascii="Times New Roman" w:hAnsi="Times New Roman" w:cs="Times New Roman"/>
          <w:b/>
          <w:bCs/>
          <w:sz w:val="24"/>
          <w:szCs w:val="24"/>
        </w:rPr>
      </w:pPr>
      <w:r w:rsidRPr="00DD1378">
        <w:rPr>
          <w:rFonts w:ascii="Times New Roman" w:hAnsi="Times New Roman" w:cs="Times New Roman"/>
          <w:b/>
          <w:bCs/>
          <w:sz w:val="24"/>
          <w:szCs w:val="24"/>
        </w:rPr>
        <w:t>2. Se dal complesso delle circostanze del caso risulta chiaramente</w:t>
      </w:r>
      <w:r>
        <w:rPr>
          <w:rFonts w:ascii="Times New Roman" w:hAnsi="Times New Roman" w:cs="Times New Roman"/>
          <w:b/>
          <w:bCs/>
          <w:sz w:val="24"/>
          <w:szCs w:val="24"/>
        </w:rPr>
        <w:t xml:space="preserve"> </w:t>
      </w:r>
      <w:r w:rsidRPr="00DD1378">
        <w:rPr>
          <w:rFonts w:ascii="Times New Roman" w:hAnsi="Times New Roman" w:cs="Times New Roman"/>
          <w:b/>
          <w:bCs/>
          <w:sz w:val="24"/>
          <w:szCs w:val="24"/>
        </w:rPr>
        <w:t>che il fatto illecito presenta collegamenti manifestamente</w:t>
      </w:r>
      <w:r>
        <w:rPr>
          <w:rFonts w:ascii="Times New Roman" w:hAnsi="Times New Roman" w:cs="Times New Roman"/>
          <w:b/>
          <w:bCs/>
          <w:sz w:val="24"/>
          <w:szCs w:val="24"/>
        </w:rPr>
        <w:t xml:space="preserve"> </w:t>
      </w:r>
      <w:r w:rsidRPr="00DD1378">
        <w:rPr>
          <w:rFonts w:ascii="Times New Roman" w:hAnsi="Times New Roman" w:cs="Times New Roman"/>
          <w:b/>
          <w:bCs/>
          <w:sz w:val="24"/>
          <w:szCs w:val="24"/>
        </w:rPr>
        <w:t>pi</w:t>
      </w:r>
      <w:r w:rsidRPr="00DD1378">
        <w:rPr>
          <w:rFonts w:ascii="Times New Roman" w:hAnsi="Times New Roman" w:cs="Times New Roman" w:hint="eastAsia"/>
          <w:b/>
          <w:bCs/>
          <w:sz w:val="24"/>
          <w:szCs w:val="24"/>
        </w:rPr>
        <w:t>ù</w:t>
      </w:r>
      <w:r w:rsidRPr="00DD1378">
        <w:rPr>
          <w:rFonts w:ascii="Times New Roman" w:hAnsi="Times New Roman" w:cs="Times New Roman"/>
          <w:b/>
          <w:bCs/>
          <w:sz w:val="24"/>
          <w:szCs w:val="24"/>
        </w:rPr>
        <w:t xml:space="preserve"> stretti con un paese diverso da quello di cui al paragrafo 1, si</w:t>
      </w:r>
      <w:r>
        <w:rPr>
          <w:rFonts w:ascii="Times New Roman" w:hAnsi="Times New Roman" w:cs="Times New Roman"/>
          <w:b/>
          <w:bCs/>
          <w:sz w:val="24"/>
          <w:szCs w:val="24"/>
        </w:rPr>
        <w:t xml:space="preserve"> </w:t>
      </w:r>
      <w:r w:rsidRPr="00DD1378">
        <w:rPr>
          <w:rFonts w:ascii="Times New Roman" w:hAnsi="Times New Roman" w:cs="Times New Roman"/>
          <w:b/>
          <w:bCs/>
          <w:sz w:val="24"/>
          <w:szCs w:val="24"/>
        </w:rPr>
        <w:t>applica la legge di quest</w:t>
      </w:r>
      <w:r>
        <w:rPr>
          <w:rFonts w:ascii="Times New Roman" w:hAnsi="Times New Roman" w:cs="Times New Roman"/>
          <w:b/>
          <w:bCs/>
          <w:sz w:val="24"/>
          <w:szCs w:val="24"/>
        </w:rPr>
        <w:t>’</w:t>
      </w:r>
      <w:r w:rsidRPr="00DD1378">
        <w:rPr>
          <w:rFonts w:ascii="Times New Roman" w:hAnsi="Times New Roman" w:cs="Times New Roman"/>
          <w:b/>
          <w:bCs/>
          <w:sz w:val="24"/>
          <w:szCs w:val="24"/>
        </w:rPr>
        <w:t>altro paese. Un collegamento manifestamente</w:t>
      </w:r>
      <w:r>
        <w:rPr>
          <w:rFonts w:ascii="Times New Roman" w:hAnsi="Times New Roman" w:cs="Times New Roman"/>
          <w:b/>
          <w:bCs/>
          <w:sz w:val="24"/>
          <w:szCs w:val="24"/>
        </w:rPr>
        <w:t xml:space="preserve"> </w:t>
      </w:r>
      <w:r w:rsidRPr="00DD1378">
        <w:rPr>
          <w:rFonts w:ascii="Times New Roman" w:hAnsi="Times New Roman" w:cs="Times New Roman"/>
          <w:b/>
          <w:bCs/>
          <w:sz w:val="24"/>
          <w:szCs w:val="24"/>
        </w:rPr>
        <w:t>pi</w:t>
      </w:r>
      <w:r w:rsidRPr="00DD1378">
        <w:rPr>
          <w:rFonts w:ascii="Times New Roman" w:hAnsi="Times New Roman" w:cs="Times New Roman" w:hint="eastAsia"/>
          <w:b/>
          <w:bCs/>
          <w:sz w:val="24"/>
          <w:szCs w:val="24"/>
        </w:rPr>
        <w:t>ù</w:t>
      </w:r>
      <w:r w:rsidRPr="00DD1378">
        <w:rPr>
          <w:rFonts w:ascii="Times New Roman" w:hAnsi="Times New Roman" w:cs="Times New Roman"/>
          <w:b/>
          <w:bCs/>
          <w:sz w:val="24"/>
          <w:szCs w:val="24"/>
        </w:rPr>
        <w:t xml:space="preserve"> stretto con un altro paese potrebbe fondarsi segnatamente</w:t>
      </w:r>
      <w:r>
        <w:rPr>
          <w:rFonts w:ascii="Times New Roman" w:hAnsi="Times New Roman" w:cs="Times New Roman"/>
          <w:b/>
          <w:bCs/>
          <w:sz w:val="24"/>
          <w:szCs w:val="24"/>
        </w:rPr>
        <w:t xml:space="preserve"> </w:t>
      </w:r>
      <w:r w:rsidRPr="00DD1378">
        <w:rPr>
          <w:rFonts w:ascii="Times New Roman" w:hAnsi="Times New Roman" w:cs="Times New Roman"/>
          <w:b/>
          <w:bCs/>
          <w:sz w:val="24"/>
          <w:szCs w:val="24"/>
        </w:rPr>
        <w:t>su una relazione preesistente tra le parti, quale un</w:t>
      </w:r>
      <w:r>
        <w:rPr>
          <w:rFonts w:ascii="Times New Roman" w:hAnsi="Times New Roman" w:cs="Times New Roman"/>
          <w:b/>
          <w:bCs/>
          <w:sz w:val="24"/>
          <w:szCs w:val="24"/>
        </w:rPr>
        <w:t xml:space="preserve"> </w:t>
      </w:r>
      <w:r w:rsidRPr="00DD1378">
        <w:rPr>
          <w:rFonts w:ascii="Times New Roman" w:hAnsi="Times New Roman" w:cs="Times New Roman"/>
          <w:b/>
          <w:bCs/>
          <w:sz w:val="24"/>
          <w:szCs w:val="24"/>
        </w:rPr>
        <w:t>contratto, che presenti uno stretto collegamento con il fatto illecito</w:t>
      </w:r>
      <w:r>
        <w:rPr>
          <w:rFonts w:ascii="Times New Roman" w:hAnsi="Times New Roman" w:cs="Times New Roman"/>
          <w:b/>
          <w:bCs/>
          <w:sz w:val="24"/>
          <w:szCs w:val="24"/>
        </w:rPr>
        <w:t xml:space="preserve"> </w:t>
      </w:r>
      <w:r w:rsidRPr="00DD1378">
        <w:rPr>
          <w:rFonts w:ascii="Times New Roman" w:hAnsi="Times New Roman" w:cs="Times New Roman"/>
          <w:b/>
          <w:bCs/>
          <w:sz w:val="24"/>
          <w:szCs w:val="24"/>
        </w:rPr>
        <w:t>in questione.</w:t>
      </w:r>
    </w:p>
    <w:p w14:paraId="7FFDDF21" w14:textId="77777777" w:rsidR="00DD1378" w:rsidRDefault="00EF367D" w:rsidP="00DD1378">
      <w:pPr>
        <w:ind w:firstLine="708"/>
        <w:jc w:val="both"/>
        <w:rPr>
          <w:rFonts w:ascii="Times New Roman" w:hAnsi="Times New Roman" w:cs="Times New Roman"/>
          <w:b/>
          <w:bCs/>
          <w:sz w:val="24"/>
          <w:szCs w:val="24"/>
        </w:rPr>
      </w:pPr>
      <w:r>
        <w:rPr>
          <w:rFonts w:ascii="Times New Roman" w:hAnsi="Times New Roman" w:cs="Times New Roman"/>
          <w:b/>
          <w:bCs/>
          <w:sz w:val="24"/>
          <w:szCs w:val="24"/>
        </w:rPr>
        <w:t>Art. 5 comma 3, Reg. 2001/44: “</w:t>
      </w:r>
      <w:r w:rsidRPr="00EF367D">
        <w:rPr>
          <w:rFonts w:ascii="Times New Roman" w:hAnsi="Times New Roman" w:cs="Times New Roman"/>
          <w:b/>
          <w:bCs/>
          <w:sz w:val="24"/>
          <w:szCs w:val="24"/>
        </w:rPr>
        <w:t xml:space="preserve"> </w:t>
      </w:r>
      <w:r w:rsidRPr="00EF367D">
        <w:rPr>
          <w:rFonts w:ascii="Times New Roman" w:hAnsi="Times New Roman" w:cs="Times New Roman"/>
          <w:b/>
          <w:bCs/>
          <w:i/>
          <w:iCs/>
          <w:sz w:val="24"/>
          <w:szCs w:val="24"/>
        </w:rPr>
        <w:t>in materia di illeciti civili dolosi o colposi, davanti al giudice del luogo in cui l'evento dannoso è avvenuto o può avvenire</w:t>
      </w:r>
      <w:r>
        <w:rPr>
          <w:rFonts w:ascii="Times New Roman" w:hAnsi="Times New Roman" w:cs="Times New Roman"/>
          <w:b/>
          <w:bCs/>
          <w:sz w:val="24"/>
          <w:szCs w:val="24"/>
        </w:rPr>
        <w:t>”</w:t>
      </w:r>
    </w:p>
    <w:p w14:paraId="4965F125" w14:textId="77777777" w:rsidR="00EF367D" w:rsidRDefault="00EF367D" w:rsidP="00EF367D">
      <w:pPr>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Corte di giustizia in </w:t>
      </w:r>
      <w:r w:rsidRPr="00EF367D">
        <w:rPr>
          <w:rFonts w:ascii="Times New Roman" w:hAnsi="Times New Roman" w:cs="Times New Roman"/>
          <w:b/>
          <w:bCs/>
          <w:sz w:val="24"/>
          <w:szCs w:val="24"/>
        </w:rPr>
        <w:t>causa C</w:t>
      </w:r>
      <w:r w:rsidRPr="00EF367D">
        <w:rPr>
          <w:rFonts w:ascii="Times New Roman" w:hAnsi="Times New Roman" w:cs="Times New Roman"/>
          <w:b/>
          <w:bCs/>
          <w:sz w:val="24"/>
          <w:szCs w:val="24"/>
        </w:rPr>
        <w:noBreakHyphen/>
        <w:t>45/13,</w:t>
      </w:r>
      <w:r>
        <w:rPr>
          <w:rFonts w:ascii="Times New Roman" w:hAnsi="Times New Roman" w:cs="Times New Roman"/>
          <w:b/>
          <w:bCs/>
          <w:sz w:val="24"/>
          <w:szCs w:val="24"/>
        </w:rPr>
        <w:t xml:space="preserve"> </w:t>
      </w:r>
      <w:r w:rsidRPr="00EF367D">
        <w:rPr>
          <w:rFonts w:ascii="Times New Roman" w:hAnsi="Times New Roman" w:cs="Times New Roman"/>
          <w:b/>
          <w:bCs/>
          <w:i/>
          <w:iCs/>
          <w:sz w:val="24"/>
          <w:szCs w:val="24"/>
        </w:rPr>
        <w:t xml:space="preserve">Andreas </w:t>
      </w:r>
      <w:proofErr w:type="spellStart"/>
      <w:r w:rsidRPr="00EF367D">
        <w:rPr>
          <w:rFonts w:ascii="Times New Roman" w:hAnsi="Times New Roman" w:cs="Times New Roman"/>
          <w:b/>
          <w:bCs/>
          <w:i/>
          <w:iCs/>
          <w:sz w:val="24"/>
          <w:szCs w:val="24"/>
        </w:rPr>
        <w:t>Kainz</w:t>
      </w:r>
      <w:proofErr w:type="spellEnd"/>
      <w:r w:rsidRPr="00EF367D">
        <w:rPr>
          <w:rFonts w:ascii="Times New Roman" w:hAnsi="Times New Roman" w:cs="Times New Roman"/>
          <w:b/>
          <w:bCs/>
          <w:i/>
          <w:iCs/>
          <w:sz w:val="24"/>
          <w:szCs w:val="24"/>
        </w:rPr>
        <w:t xml:space="preserve"> contro </w:t>
      </w:r>
      <w:proofErr w:type="spellStart"/>
      <w:r w:rsidRPr="00EF367D">
        <w:rPr>
          <w:rFonts w:ascii="Times New Roman" w:hAnsi="Times New Roman" w:cs="Times New Roman"/>
          <w:b/>
          <w:bCs/>
          <w:i/>
          <w:iCs/>
          <w:sz w:val="24"/>
          <w:szCs w:val="24"/>
        </w:rPr>
        <w:t>Pantherwerke</w:t>
      </w:r>
      <w:proofErr w:type="spellEnd"/>
      <w:r w:rsidRPr="00EF367D">
        <w:rPr>
          <w:rFonts w:ascii="Times New Roman" w:hAnsi="Times New Roman" w:cs="Times New Roman"/>
          <w:b/>
          <w:bCs/>
          <w:i/>
          <w:iCs/>
          <w:sz w:val="24"/>
          <w:szCs w:val="24"/>
        </w:rPr>
        <w:t xml:space="preserve"> AG</w:t>
      </w:r>
      <w:r w:rsidRPr="00EF367D">
        <w:rPr>
          <w:rFonts w:ascii="Times New Roman" w:hAnsi="Times New Roman" w:cs="Times New Roman"/>
          <w:b/>
          <w:bCs/>
          <w:sz w:val="24"/>
          <w:szCs w:val="24"/>
        </w:rPr>
        <w:t>,</w:t>
      </w:r>
      <w:r w:rsidR="00AB0980">
        <w:rPr>
          <w:rFonts w:ascii="Times New Roman" w:hAnsi="Times New Roman" w:cs="Times New Roman"/>
          <w:b/>
          <w:bCs/>
          <w:sz w:val="24"/>
          <w:szCs w:val="24"/>
        </w:rPr>
        <w:t xml:space="preserve"> 16 gennaio 2014 </w:t>
      </w:r>
    </w:p>
    <w:p w14:paraId="66E0F187" w14:textId="77777777" w:rsidR="00EF367D" w:rsidRDefault="00AB0980" w:rsidP="00EF367D">
      <w:pPr>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Fatto: </w:t>
      </w:r>
      <w:proofErr w:type="spellStart"/>
      <w:r w:rsidRPr="00AB0980">
        <w:rPr>
          <w:rFonts w:ascii="Times New Roman" w:hAnsi="Times New Roman" w:cs="Times New Roman"/>
          <w:b/>
          <w:bCs/>
          <w:sz w:val="24"/>
          <w:szCs w:val="24"/>
        </w:rPr>
        <w:t>Pantherwerke</w:t>
      </w:r>
      <w:proofErr w:type="spellEnd"/>
      <w:r w:rsidRPr="00AB0980">
        <w:rPr>
          <w:rFonts w:ascii="Times New Roman" w:hAnsi="Times New Roman" w:cs="Times New Roman"/>
          <w:b/>
          <w:bCs/>
          <w:sz w:val="24"/>
          <w:szCs w:val="24"/>
        </w:rPr>
        <w:t xml:space="preserve"> AG è un’impresa con sede in Germania che fabbrica e commercializza biciclette. Il sig. </w:t>
      </w:r>
      <w:proofErr w:type="spellStart"/>
      <w:r w:rsidRPr="00AB0980">
        <w:rPr>
          <w:rFonts w:ascii="Times New Roman" w:hAnsi="Times New Roman" w:cs="Times New Roman"/>
          <w:b/>
          <w:bCs/>
          <w:sz w:val="24"/>
          <w:szCs w:val="24"/>
        </w:rPr>
        <w:t>Kainz</w:t>
      </w:r>
      <w:proofErr w:type="spellEnd"/>
      <w:r w:rsidRPr="00AB0980">
        <w:rPr>
          <w:rFonts w:ascii="Times New Roman" w:hAnsi="Times New Roman" w:cs="Times New Roman"/>
          <w:b/>
          <w:bCs/>
          <w:sz w:val="24"/>
          <w:szCs w:val="24"/>
        </w:rPr>
        <w:t xml:space="preserve">, residente in Salisburgo, acquistava in data 3 novembre 2007, presso la </w:t>
      </w:r>
      <w:proofErr w:type="spellStart"/>
      <w:r w:rsidRPr="00AB0980">
        <w:rPr>
          <w:rFonts w:ascii="Times New Roman" w:hAnsi="Times New Roman" w:cs="Times New Roman"/>
          <w:b/>
          <w:bCs/>
          <w:sz w:val="24"/>
          <w:szCs w:val="24"/>
        </w:rPr>
        <w:t>Funbike</w:t>
      </w:r>
      <w:proofErr w:type="spellEnd"/>
      <w:r w:rsidRPr="00AB0980">
        <w:rPr>
          <w:rFonts w:ascii="Times New Roman" w:hAnsi="Times New Roman" w:cs="Times New Roman"/>
          <w:b/>
          <w:bCs/>
          <w:sz w:val="24"/>
          <w:szCs w:val="24"/>
        </w:rPr>
        <w:t xml:space="preserve"> GmbH, società con sede in Austria, una bicicletta fabbricata dalla </w:t>
      </w:r>
      <w:proofErr w:type="spellStart"/>
      <w:r w:rsidRPr="00AB0980">
        <w:rPr>
          <w:rFonts w:ascii="Times New Roman" w:hAnsi="Times New Roman" w:cs="Times New Roman"/>
          <w:b/>
          <w:bCs/>
          <w:sz w:val="24"/>
          <w:szCs w:val="24"/>
        </w:rPr>
        <w:t>Pantherwerke</w:t>
      </w:r>
      <w:proofErr w:type="spellEnd"/>
      <w:r w:rsidRPr="00AB0980">
        <w:rPr>
          <w:rFonts w:ascii="Times New Roman" w:hAnsi="Times New Roman" w:cs="Times New Roman"/>
          <w:b/>
          <w:bCs/>
          <w:sz w:val="24"/>
          <w:szCs w:val="24"/>
        </w:rPr>
        <w:t xml:space="preserve"> AG. Il 3 luglio 2009, mentre circolava su tale bicicletta in Germania, il sig.</w:t>
      </w:r>
      <w:r>
        <w:rPr>
          <w:rFonts w:ascii="Times New Roman" w:hAnsi="Times New Roman" w:cs="Times New Roman"/>
          <w:b/>
          <w:bCs/>
          <w:sz w:val="24"/>
          <w:szCs w:val="24"/>
        </w:rPr>
        <w:t xml:space="preserve"> </w:t>
      </w:r>
      <w:proofErr w:type="spellStart"/>
      <w:r w:rsidRPr="00AB0980">
        <w:rPr>
          <w:rFonts w:ascii="Times New Roman" w:hAnsi="Times New Roman" w:cs="Times New Roman"/>
          <w:b/>
          <w:bCs/>
          <w:sz w:val="24"/>
          <w:szCs w:val="24"/>
        </w:rPr>
        <w:t>Kainz</w:t>
      </w:r>
      <w:proofErr w:type="spellEnd"/>
      <w:r w:rsidRPr="00AB0980">
        <w:rPr>
          <w:rFonts w:ascii="Times New Roman" w:hAnsi="Times New Roman" w:cs="Times New Roman"/>
          <w:b/>
          <w:bCs/>
          <w:sz w:val="24"/>
          <w:szCs w:val="24"/>
        </w:rPr>
        <w:t xml:space="preserve"> cadeva riportando lesioni</w:t>
      </w:r>
    </w:p>
    <w:p w14:paraId="5E9EC71F" w14:textId="77777777" w:rsidR="00AB0980" w:rsidRDefault="00AB0980" w:rsidP="00AB0980">
      <w:pPr>
        <w:ind w:firstLine="708"/>
        <w:jc w:val="center"/>
        <w:rPr>
          <w:rFonts w:ascii="Times New Roman" w:hAnsi="Times New Roman" w:cs="Times New Roman"/>
          <w:b/>
          <w:bCs/>
          <w:sz w:val="24"/>
          <w:szCs w:val="24"/>
        </w:rPr>
      </w:pPr>
      <w:r>
        <w:rPr>
          <w:rFonts w:ascii="Times New Roman" w:hAnsi="Times New Roman" w:cs="Times New Roman"/>
          <w:b/>
          <w:bCs/>
          <w:sz w:val="24"/>
          <w:szCs w:val="24"/>
        </w:rPr>
        <w:t>§§§§§§§§§</w:t>
      </w:r>
    </w:p>
    <w:p w14:paraId="0C49CC80" w14:textId="77777777" w:rsidR="00AB0980" w:rsidRDefault="00AB0980" w:rsidP="00EF367D">
      <w:pPr>
        <w:ind w:firstLine="708"/>
        <w:jc w:val="both"/>
        <w:rPr>
          <w:rFonts w:ascii="Times New Roman" w:hAnsi="Times New Roman" w:cs="Times New Roman"/>
          <w:b/>
          <w:bCs/>
          <w:sz w:val="24"/>
          <w:szCs w:val="24"/>
        </w:rPr>
      </w:pPr>
      <w:proofErr w:type="spellStart"/>
      <w:r w:rsidRPr="00AB0980">
        <w:rPr>
          <w:rFonts w:ascii="Times New Roman" w:hAnsi="Times New Roman" w:cs="Times New Roman"/>
          <w:b/>
          <w:bCs/>
          <w:i/>
          <w:iCs/>
          <w:sz w:val="24"/>
          <w:szCs w:val="24"/>
        </w:rPr>
        <w:t>Dicta</w:t>
      </w:r>
      <w:proofErr w:type="spellEnd"/>
      <w:r>
        <w:rPr>
          <w:rFonts w:ascii="Times New Roman" w:hAnsi="Times New Roman" w:cs="Times New Roman"/>
          <w:b/>
          <w:bCs/>
          <w:sz w:val="24"/>
          <w:szCs w:val="24"/>
        </w:rPr>
        <w:t xml:space="preserve"> della Corte</w:t>
      </w:r>
    </w:p>
    <w:p w14:paraId="063714FC" w14:textId="77777777" w:rsidR="00EF367D" w:rsidRPr="00EF367D" w:rsidRDefault="00EF367D" w:rsidP="00EF367D">
      <w:pPr>
        <w:ind w:firstLine="708"/>
        <w:jc w:val="both"/>
        <w:rPr>
          <w:rFonts w:ascii="Times New Roman" w:hAnsi="Times New Roman" w:cs="Times New Roman"/>
          <w:b/>
          <w:bCs/>
          <w:sz w:val="24"/>
          <w:szCs w:val="24"/>
        </w:rPr>
      </w:pPr>
      <w:r>
        <w:rPr>
          <w:rFonts w:ascii="Times New Roman" w:hAnsi="Times New Roman" w:cs="Times New Roman"/>
          <w:b/>
          <w:bCs/>
          <w:sz w:val="24"/>
          <w:szCs w:val="24"/>
        </w:rPr>
        <w:t>“…s</w:t>
      </w:r>
      <w:r w:rsidRPr="00EF367D">
        <w:rPr>
          <w:rFonts w:ascii="Times New Roman" w:hAnsi="Times New Roman" w:cs="Times New Roman"/>
          <w:b/>
          <w:bCs/>
          <w:sz w:val="24"/>
          <w:szCs w:val="24"/>
        </w:rPr>
        <w:t>e è ben vero che dal considerando 7 del regolamento n.</w:t>
      </w:r>
      <w:r>
        <w:rPr>
          <w:rFonts w:ascii="Times New Roman" w:hAnsi="Times New Roman" w:cs="Times New Roman"/>
          <w:b/>
          <w:bCs/>
          <w:sz w:val="24"/>
          <w:szCs w:val="24"/>
        </w:rPr>
        <w:t xml:space="preserve"> </w:t>
      </w:r>
      <w:r w:rsidRPr="00EF367D">
        <w:rPr>
          <w:rFonts w:ascii="Times New Roman" w:hAnsi="Times New Roman" w:cs="Times New Roman"/>
          <w:b/>
          <w:bCs/>
          <w:sz w:val="24"/>
          <w:szCs w:val="24"/>
        </w:rPr>
        <w:t xml:space="preserve">864/2007 emerge che il legislatore dell’Unione ha cercato di garantire una coerenza tra il regolamento n. 44/2001, da un lato, e la sfera di applicazione </w:t>
      </w:r>
      <w:proofErr w:type="spellStart"/>
      <w:r w:rsidRPr="00BE6816">
        <w:rPr>
          <w:rFonts w:ascii="Times New Roman" w:hAnsi="Times New Roman" w:cs="Times New Roman"/>
          <w:b/>
          <w:bCs/>
          <w:i/>
          <w:iCs/>
          <w:sz w:val="24"/>
          <w:szCs w:val="24"/>
        </w:rPr>
        <w:t>ratione</w:t>
      </w:r>
      <w:proofErr w:type="spellEnd"/>
      <w:r w:rsidRPr="00BE6816">
        <w:rPr>
          <w:rFonts w:ascii="Times New Roman" w:hAnsi="Times New Roman" w:cs="Times New Roman"/>
          <w:b/>
          <w:bCs/>
          <w:i/>
          <w:iCs/>
          <w:sz w:val="24"/>
          <w:szCs w:val="24"/>
        </w:rPr>
        <w:t xml:space="preserve"> </w:t>
      </w:r>
      <w:proofErr w:type="spellStart"/>
      <w:r w:rsidRPr="00BE6816">
        <w:rPr>
          <w:rFonts w:ascii="Times New Roman" w:hAnsi="Times New Roman" w:cs="Times New Roman"/>
          <w:b/>
          <w:bCs/>
          <w:i/>
          <w:iCs/>
          <w:sz w:val="24"/>
          <w:szCs w:val="24"/>
        </w:rPr>
        <w:t>materiae</w:t>
      </w:r>
      <w:proofErr w:type="spellEnd"/>
      <w:r w:rsidRPr="00EF367D">
        <w:rPr>
          <w:rFonts w:ascii="Times New Roman" w:hAnsi="Times New Roman" w:cs="Times New Roman"/>
          <w:b/>
          <w:bCs/>
          <w:sz w:val="24"/>
          <w:szCs w:val="24"/>
        </w:rPr>
        <w:t xml:space="preserve"> nonché le disposizioni del regolamento n. 864/2007, dall’altro, non ne deriva tuttavia che le disposizioni del regolamento n. 44/2001 debbano essere pertanto interpretate alla luce di quelle del regolamento n. 864/2007. In nessun caso la coerenza voluta può condurre ad attribuire alle disposizioni del regolamento n. 44/2001 un’interpretazione estranea al sistema ed agli obiettivi del medesimo.</w:t>
      </w:r>
    </w:p>
    <w:p w14:paraId="0A2CA9CB" w14:textId="77777777" w:rsidR="00EF367D" w:rsidRPr="00EF367D" w:rsidRDefault="00EF367D" w:rsidP="00EF367D">
      <w:pPr>
        <w:ind w:firstLine="708"/>
        <w:jc w:val="both"/>
        <w:rPr>
          <w:rFonts w:ascii="Times New Roman" w:hAnsi="Times New Roman" w:cs="Times New Roman"/>
          <w:b/>
          <w:bCs/>
          <w:sz w:val="24"/>
          <w:szCs w:val="24"/>
        </w:rPr>
      </w:pPr>
      <w:bookmarkStart w:id="0" w:name="point21"/>
      <w:r w:rsidRPr="00EF367D">
        <w:rPr>
          <w:rFonts w:ascii="Times New Roman" w:hAnsi="Times New Roman" w:cs="Times New Roman"/>
          <w:b/>
          <w:bCs/>
          <w:sz w:val="24"/>
          <w:szCs w:val="24"/>
        </w:rPr>
        <w:t>21</w:t>
      </w:r>
      <w:bookmarkEnd w:id="0"/>
      <w:r>
        <w:rPr>
          <w:rFonts w:ascii="Times New Roman" w:hAnsi="Times New Roman" w:cs="Times New Roman"/>
          <w:b/>
          <w:bCs/>
          <w:sz w:val="24"/>
          <w:szCs w:val="24"/>
        </w:rPr>
        <w:t xml:space="preserve"> </w:t>
      </w:r>
      <w:r w:rsidRPr="00EF367D">
        <w:rPr>
          <w:rFonts w:ascii="Times New Roman" w:hAnsi="Times New Roman" w:cs="Times New Roman"/>
          <w:b/>
          <w:bCs/>
          <w:sz w:val="24"/>
          <w:szCs w:val="24"/>
        </w:rPr>
        <w:t xml:space="preserve">A tal riguardo si deve rammentare che il sistema delle attribuzioni di competenze di diritto comune, istituito dalle disposizioni contenute nel capo II del regolamento n. 44/2001 è fondato sul principio generale, sancito all’articolo 2, paragrafo 1, del medesimo, in forza del quale le persone aventi domicilio nel territorio di uno Stato membro sono convenute, a prescindere dalla loro nazionalità, dinanzi agli organi giurisdizionali di tale Stato. È solamente </w:t>
      </w:r>
      <w:r w:rsidRPr="00EF367D">
        <w:rPr>
          <w:rFonts w:ascii="Times New Roman" w:hAnsi="Times New Roman" w:cs="Times New Roman"/>
          <w:b/>
          <w:bCs/>
          <w:sz w:val="24"/>
          <w:szCs w:val="24"/>
        </w:rPr>
        <w:lastRenderedPageBreak/>
        <w:t xml:space="preserve">in deroga al principio generale della competenza dei giudici del </w:t>
      </w:r>
      <w:r w:rsidRPr="00BE6816">
        <w:rPr>
          <w:rFonts w:ascii="Times New Roman" w:hAnsi="Times New Roman" w:cs="Times New Roman"/>
          <w:b/>
          <w:bCs/>
          <w:sz w:val="24"/>
          <w:szCs w:val="24"/>
          <w:u w:val="single"/>
        </w:rPr>
        <w:t>domicilio del convenuto</w:t>
      </w:r>
      <w:r w:rsidRPr="00EF367D">
        <w:rPr>
          <w:rFonts w:ascii="Times New Roman" w:hAnsi="Times New Roman" w:cs="Times New Roman"/>
          <w:b/>
          <w:bCs/>
          <w:sz w:val="24"/>
          <w:szCs w:val="24"/>
        </w:rPr>
        <w:t xml:space="preserve"> che le disposizioni del capo II, sezione 2, del regolamento n. 44/2001 prevedono una serie di regole di competenza speciali, tra le quali figura quella dell’articolo 5, punto 3, del regolamento stesso</w:t>
      </w:r>
    </w:p>
    <w:p w14:paraId="6E7A8498" w14:textId="77777777" w:rsidR="00EF367D" w:rsidRDefault="00EF367D" w:rsidP="00DD1378">
      <w:pPr>
        <w:ind w:firstLine="708"/>
        <w:jc w:val="both"/>
        <w:rPr>
          <w:rFonts w:ascii="Times New Roman" w:hAnsi="Times New Roman" w:cs="Times New Roman"/>
          <w:b/>
          <w:bCs/>
          <w:sz w:val="24"/>
          <w:szCs w:val="24"/>
        </w:rPr>
      </w:pPr>
      <w:r>
        <w:rPr>
          <w:rFonts w:ascii="Times New Roman" w:hAnsi="Times New Roman" w:cs="Times New Roman"/>
          <w:b/>
          <w:bCs/>
          <w:sz w:val="24"/>
          <w:szCs w:val="24"/>
        </w:rPr>
        <w:t>P</w:t>
      </w:r>
      <w:r w:rsidRPr="00EF367D">
        <w:rPr>
          <w:rFonts w:ascii="Times New Roman" w:hAnsi="Times New Roman" w:cs="Times New Roman"/>
          <w:b/>
          <w:bCs/>
          <w:sz w:val="24"/>
          <w:szCs w:val="24"/>
        </w:rPr>
        <w:t xml:space="preserve">er costante giurisprudenza, qualora il luogo in cui avvenga il fatto implicante un’eventuale responsabilità </w:t>
      </w:r>
      <w:r w:rsidRPr="00EF367D">
        <w:rPr>
          <w:rFonts w:ascii="Times New Roman" w:hAnsi="Times New Roman" w:cs="Times New Roman"/>
          <w:b/>
          <w:bCs/>
          <w:i/>
          <w:iCs/>
          <w:sz w:val="24"/>
          <w:szCs w:val="24"/>
        </w:rPr>
        <w:t xml:space="preserve">ex </w:t>
      </w:r>
      <w:proofErr w:type="spellStart"/>
      <w:r w:rsidRPr="00EF367D">
        <w:rPr>
          <w:rFonts w:ascii="Times New Roman" w:hAnsi="Times New Roman" w:cs="Times New Roman"/>
          <w:b/>
          <w:bCs/>
          <w:i/>
          <w:iCs/>
          <w:sz w:val="24"/>
          <w:szCs w:val="24"/>
        </w:rPr>
        <w:t>delictu</w:t>
      </w:r>
      <w:proofErr w:type="spellEnd"/>
      <w:r w:rsidRPr="00EF367D">
        <w:rPr>
          <w:rFonts w:ascii="Times New Roman" w:hAnsi="Times New Roman" w:cs="Times New Roman"/>
          <w:b/>
          <w:bCs/>
          <w:sz w:val="24"/>
          <w:szCs w:val="24"/>
        </w:rPr>
        <w:t xml:space="preserve"> o </w:t>
      </w:r>
      <w:r w:rsidRPr="00EF367D">
        <w:rPr>
          <w:rFonts w:ascii="Times New Roman" w:hAnsi="Times New Roman" w:cs="Times New Roman"/>
          <w:b/>
          <w:bCs/>
          <w:i/>
          <w:iCs/>
          <w:sz w:val="24"/>
          <w:szCs w:val="24"/>
        </w:rPr>
        <w:t xml:space="preserve">quasi </w:t>
      </w:r>
      <w:proofErr w:type="spellStart"/>
      <w:r w:rsidRPr="00EF367D">
        <w:rPr>
          <w:rFonts w:ascii="Times New Roman" w:hAnsi="Times New Roman" w:cs="Times New Roman"/>
          <w:b/>
          <w:bCs/>
          <w:i/>
          <w:iCs/>
          <w:sz w:val="24"/>
          <w:szCs w:val="24"/>
        </w:rPr>
        <w:t>delictu</w:t>
      </w:r>
      <w:proofErr w:type="spellEnd"/>
      <w:r w:rsidRPr="00EF367D">
        <w:rPr>
          <w:rFonts w:ascii="Times New Roman" w:hAnsi="Times New Roman" w:cs="Times New Roman"/>
          <w:b/>
          <w:bCs/>
          <w:sz w:val="24"/>
          <w:szCs w:val="24"/>
        </w:rPr>
        <w:t xml:space="preserve"> non coincida col luogo in cui tale fatto abbia causato il danno, l’espressione «luogo in cui l’evento dannoso è avvenuto», di cui all’articolo 5, punto 3, del regolamento n. 44/2001, va intesa nel senso che si riferisce tanto al luogo ove è insorto il danno, quanto al luogo ove si è verificato l’evento generatore dello stesso, di modo che il convenuto può essere citato, a scelta dell’attore, dinanzi al giudice dell’uno o dell’altro di tali due luoghi (v., segnatamente, citate sentenze </w:t>
      </w:r>
      <w:proofErr w:type="spellStart"/>
      <w:r w:rsidRPr="00EF367D">
        <w:rPr>
          <w:rFonts w:ascii="Times New Roman" w:hAnsi="Times New Roman" w:cs="Times New Roman"/>
          <w:b/>
          <w:bCs/>
          <w:sz w:val="24"/>
          <w:szCs w:val="24"/>
        </w:rPr>
        <w:t>Zuid</w:t>
      </w:r>
      <w:r w:rsidRPr="00EF367D">
        <w:rPr>
          <w:rFonts w:ascii="Times New Roman" w:hAnsi="Times New Roman" w:cs="Times New Roman"/>
          <w:b/>
          <w:bCs/>
          <w:sz w:val="24"/>
          <w:szCs w:val="24"/>
        </w:rPr>
        <w:noBreakHyphen/>
        <w:t>Chemie</w:t>
      </w:r>
      <w:proofErr w:type="spellEnd"/>
      <w:r w:rsidRPr="00EF367D">
        <w:rPr>
          <w:rFonts w:ascii="Times New Roman" w:hAnsi="Times New Roman" w:cs="Times New Roman"/>
          <w:b/>
          <w:bCs/>
          <w:sz w:val="24"/>
          <w:szCs w:val="24"/>
        </w:rPr>
        <w:t xml:space="preserve">, punto 23, e </w:t>
      </w:r>
      <w:proofErr w:type="spellStart"/>
      <w:r w:rsidRPr="00EF367D">
        <w:rPr>
          <w:rFonts w:ascii="Times New Roman" w:hAnsi="Times New Roman" w:cs="Times New Roman"/>
          <w:b/>
          <w:bCs/>
          <w:sz w:val="24"/>
          <w:szCs w:val="24"/>
        </w:rPr>
        <w:t>Pinckney</w:t>
      </w:r>
      <w:proofErr w:type="spellEnd"/>
      <w:r w:rsidRPr="00EF367D">
        <w:rPr>
          <w:rFonts w:ascii="Times New Roman" w:hAnsi="Times New Roman" w:cs="Times New Roman"/>
          <w:b/>
          <w:bCs/>
          <w:sz w:val="24"/>
          <w:szCs w:val="24"/>
        </w:rPr>
        <w:t>, punto 26)</w:t>
      </w:r>
    </w:p>
    <w:p w14:paraId="6D3DAFBB" w14:textId="77777777" w:rsidR="00EF367D" w:rsidRDefault="00EF367D" w:rsidP="00DD1378">
      <w:pPr>
        <w:ind w:firstLine="708"/>
        <w:jc w:val="both"/>
        <w:rPr>
          <w:rFonts w:ascii="Times New Roman" w:hAnsi="Times New Roman" w:cs="Times New Roman"/>
          <w:b/>
          <w:bCs/>
          <w:sz w:val="24"/>
          <w:szCs w:val="24"/>
        </w:rPr>
      </w:pPr>
      <w:r w:rsidRPr="00EF367D">
        <w:rPr>
          <w:rFonts w:ascii="Times New Roman" w:hAnsi="Times New Roman" w:cs="Times New Roman"/>
          <w:b/>
          <w:bCs/>
          <w:sz w:val="24"/>
          <w:szCs w:val="24"/>
        </w:rPr>
        <w:t xml:space="preserve">la Corte ha già avuto modo di precisare che esso si colloca, in caso di responsabilità per prodotti difettosi, nel luogo in cui si è realizzato il fatto che ha danneggiato il prodotto stesso (v., in tal senso, sentenza </w:t>
      </w:r>
      <w:proofErr w:type="spellStart"/>
      <w:r w:rsidRPr="00EF367D">
        <w:rPr>
          <w:rFonts w:ascii="Times New Roman" w:hAnsi="Times New Roman" w:cs="Times New Roman"/>
          <w:b/>
          <w:bCs/>
          <w:sz w:val="24"/>
          <w:szCs w:val="24"/>
        </w:rPr>
        <w:t>Zuid</w:t>
      </w:r>
      <w:r w:rsidRPr="00EF367D">
        <w:rPr>
          <w:rFonts w:ascii="Times New Roman" w:hAnsi="Times New Roman" w:cs="Times New Roman"/>
          <w:b/>
          <w:bCs/>
          <w:sz w:val="24"/>
          <w:szCs w:val="24"/>
        </w:rPr>
        <w:noBreakHyphen/>
        <w:t>Chemie</w:t>
      </w:r>
      <w:proofErr w:type="spellEnd"/>
      <w:r w:rsidRPr="00EF367D">
        <w:rPr>
          <w:rFonts w:ascii="Times New Roman" w:hAnsi="Times New Roman" w:cs="Times New Roman"/>
          <w:b/>
          <w:bCs/>
          <w:sz w:val="24"/>
          <w:szCs w:val="24"/>
        </w:rPr>
        <w:t xml:space="preserve">, cit., punto 27). </w:t>
      </w:r>
    </w:p>
    <w:p w14:paraId="728B8427" w14:textId="733085DE" w:rsidR="00EF367D" w:rsidRDefault="00EF367D" w:rsidP="00DD1378">
      <w:pPr>
        <w:ind w:firstLine="708"/>
        <w:jc w:val="both"/>
        <w:rPr>
          <w:rFonts w:ascii="Times New Roman" w:hAnsi="Times New Roman" w:cs="Times New Roman"/>
          <w:b/>
          <w:bCs/>
          <w:sz w:val="24"/>
          <w:szCs w:val="24"/>
        </w:rPr>
      </w:pPr>
      <w:r w:rsidRPr="00EF367D">
        <w:rPr>
          <w:rFonts w:ascii="Times New Roman" w:hAnsi="Times New Roman" w:cs="Times New Roman"/>
          <w:b/>
          <w:bCs/>
          <w:sz w:val="24"/>
          <w:szCs w:val="24"/>
        </w:rPr>
        <w:t>In linea di principio, tale circostanza si verifica nel luogo in cui il prodotto di cui trattasi viene fabbricato.</w:t>
      </w:r>
    </w:p>
    <w:p w14:paraId="278C98DA" w14:textId="0019C52F" w:rsidR="00BE6816" w:rsidRDefault="00BE6816" w:rsidP="00DD1378">
      <w:pPr>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CONCLUSIONE: </w:t>
      </w:r>
      <w:r w:rsidRPr="00BE6816">
        <w:rPr>
          <w:rFonts w:ascii="Times New Roman" w:hAnsi="Times New Roman" w:cs="Times New Roman"/>
          <w:b/>
          <w:bCs/>
          <w:sz w:val="24"/>
          <w:szCs w:val="24"/>
        </w:rPr>
        <w:t xml:space="preserve">L’articolo 5, punto 3, del regolamento (CE) n. 44/2001 del Consiglio, del 22 dicembre 2000, concernente la competenza giurisdizionale, il riconoscimento e l’esecuzione delle decisioni in materia civile e commerciale, deve essere interpretato nel senso che, </w:t>
      </w:r>
      <w:r w:rsidRPr="00BE6816">
        <w:rPr>
          <w:rFonts w:ascii="Times New Roman" w:hAnsi="Times New Roman" w:cs="Times New Roman"/>
          <w:b/>
          <w:bCs/>
          <w:sz w:val="24"/>
          <w:szCs w:val="24"/>
          <w:u w:val="single"/>
        </w:rPr>
        <w:t>in caso di contestazione della responsabilità di un fabbricante per prodotti difettosi, il luogo del fatto generatore del danno è costituito dal luogo di fabbricazione del prodotto di cui trattasi</w:t>
      </w:r>
      <w:r w:rsidRPr="00BE6816">
        <w:rPr>
          <w:rFonts w:ascii="Times New Roman" w:hAnsi="Times New Roman" w:cs="Times New Roman"/>
          <w:b/>
          <w:bCs/>
          <w:sz w:val="24"/>
          <w:szCs w:val="24"/>
        </w:rPr>
        <w:t>.</w:t>
      </w:r>
    </w:p>
    <w:p w14:paraId="5C8C6D1A" w14:textId="77777777" w:rsidR="00BE6816" w:rsidRDefault="00BE6816" w:rsidP="008F666C">
      <w:pPr>
        <w:rPr>
          <w:rFonts w:ascii="Times New Roman" w:hAnsi="Times New Roman" w:cs="Times New Roman"/>
          <w:b/>
          <w:bCs/>
          <w:sz w:val="24"/>
          <w:szCs w:val="24"/>
        </w:rPr>
      </w:pPr>
    </w:p>
    <w:p w14:paraId="6D59C9AC" w14:textId="75387550" w:rsidR="00AB0980" w:rsidRPr="00A0281D" w:rsidRDefault="000636CE" w:rsidP="00BE6816">
      <w:pPr>
        <w:ind w:firstLine="708"/>
        <w:rPr>
          <w:rFonts w:ascii="Times New Roman" w:hAnsi="Times New Roman" w:cs="Times New Roman"/>
          <w:b/>
          <w:bCs/>
          <w:sz w:val="24"/>
          <w:szCs w:val="24"/>
          <w:u w:val="single"/>
        </w:rPr>
      </w:pPr>
      <w:r w:rsidRPr="00A0281D">
        <w:rPr>
          <w:rFonts w:ascii="Times New Roman" w:hAnsi="Times New Roman" w:cs="Times New Roman"/>
          <w:b/>
          <w:bCs/>
          <w:sz w:val="24"/>
          <w:szCs w:val="24"/>
          <w:u w:val="single"/>
        </w:rPr>
        <w:t xml:space="preserve">CGUE - </w:t>
      </w:r>
      <w:r w:rsidR="00BE6816" w:rsidRPr="00A0281D">
        <w:rPr>
          <w:rFonts w:ascii="Times New Roman" w:hAnsi="Times New Roman" w:cs="Times New Roman"/>
          <w:b/>
          <w:bCs/>
          <w:sz w:val="24"/>
          <w:szCs w:val="24"/>
          <w:u w:val="single"/>
        </w:rPr>
        <w:t xml:space="preserve">Sentenza </w:t>
      </w:r>
      <w:r w:rsidR="00BE6816" w:rsidRPr="00A0281D">
        <w:rPr>
          <w:rFonts w:ascii="Times New Roman" w:hAnsi="Times New Roman" w:cs="Times New Roman"/>
          <w:b/>
          <w:bCs/>
          <w:sz w:val="24"/>
          <w:szCs w:val="24"/>
          <w:u w:val="single"/>
        </w:rPr>
        <w:t>10 giugno 2021</w:t>
      </w:r>
    </w:p>
    <w:p w14:paraId="289AAEEA" w14:textId="1A51BB8C" w:rsidR="00AB0980" w:rsidRDefault="000636CE" w:rsidP="008F666C">
      <w:pPr>
        <w:rPr>
          <w:rFonts w:ascii="Times New Roman" w:hAnsi="Times New Roman" w:cs="Times New Roman"/>
          <w:b/>
          <w:bCs/>
          <w:sz w:val="24"/>
          <w:szCs w:val="24"/>
        </w:rPr>
      </w:pPr>
      <w:r w:rsidRPr="000636CE">
        <w:rPr>
          <w:rFonts w:ascii="Times New Roman" w:hAnsi="Times New Roman" w:cs="Times New Roman"/>
          <w:b/>
          <w:bCs/>
          <w:sz w:val="24"/>
          <w:szCs w:val="24"/>
        </w:rPr>
        <w:t>Nella causa C</w:t>
      </w:r>
      <w:r w:rsidRPr="000636CE">
        <w:rPr>
          <w:rFonts w:ascii="Times New Roman" w:hAnsi="Times New Roman" w:cs="Times New Roman"/>
          <w:b/>
          <w:bCs/>
          <w:sz w:val="24"/>
          <w:szCs w:val="24"/>
        </w:rPr>
        <w:noBreakHyphen/>
        <w:t>65/20,</w:t>
      </w:r>
    </w:p>
    <w:p w14:paraId="4C949DA2" w14:textId="1471B732" w:rsidR="000636CE" w:rsidRDefault="000636CE" w:rsidP="000636CE">
      <w:pPr>
        <w:jc w:val="both"/>
        <w:rPr>
          <w:rFonts w:ascii="Times New Roman" w:hAnsi="Times New Roman" w:cs="Times New Roman"/>
          <w:b/>
          <w:bCs/>
          <w:sz w:val="24"/>
          <w:szCs w:val="24"/>
        </w:rPr>
      </w:pPr>
      <w:r>
        <w:rPr>
          <w:rFonts w:ascii="Times New Roman" w:hAnsi="Times New Roman" w:cs="Times New Roman"/>
          <w:b/>
          <w:bCs/>
          <w:sz w:val="24"/>
          <w:szCs w:val="24"/>
        </w:rPr>
        <w:t xml:space="preserve">fra </w:t>
      </w:r>
      <w:r w:rsidRPr="000636CE">
        <w:rPr>
          <w:rFonts w:ascii="Times New Roman" w:hAnsi="Times New Roman" w:cs="Times New Roman"/>
          <w:b/>
          <w:bCs/>
          <w:sz w:val="24"/>
          <w:szCs w:val="24"/>
        </w:rPr>
        <w:t xml:space="preserve">VI, cittadina austriaca, e la KRONE – </w:t>
      </w:r>
      <w:proofErr w:type="spellStart"/>
      <w:r w:rsidRPr="000636CE">
        <w:rPr>
          <w:rFonts w:ascii="Times New Roman" w:hAnsi="Times New Roman" w:cs="Times New Roman"/>
          <w:b/>
          <w:bCs/>
          <w:sz w:val="24"/>
          <w:szCs w:val="24"/>
        </w:rPr>
        <w:t>Verlag</w:t>
      </w:r>
      <w:proofErr w:type="spellEnd"/>
      <w:r w:rsidRPr="000636CE">
        <w:rPr>
          <w:rFonts w:ascii="Times New Roman" w:hAnsi="Times New Roman" w:cs="Times New Roman"/>
          <w:b/>
          <w:bCs/>
          <w:sz w:val="24"/>
          <w:szCs w:val="24"/>
        </w:rPr>
        <w:t xml:space="preserve"> </w:t>
      </w:r>
      <w:proofErr w:type="spellStart"/>
      <w:r w:rsidRPr="000636CE">
        <w:rPr>
          <w:rFonts w:ascii="Times New Roman" w:hAnsi="Times New Roman" w:cs="Times New Roman"/>
          <w:b/>
          <w:bCs/>
          <w:sz w:val="24"/>
          <w:szCs w:val="24"/>
        </w:rPr>
        <w:t>Gesellschaft</w:t>
      </w:r>
      <w:proofErr w:type="spellEnd"/>
      <w:r w:rsidRPr="000636CE">
        <w:rPr>
          <w:rFonts w:ascii="Times New Roman" w:hAnsi="Times New Roman" w:cs="Times New Roman"/>
          <w:b/>
          <w:bCs/>
          <w:sz w:val="24"/>
          <w:szCs w:val="24"/>
        </w:rPr>
        <w:t xml:space="preserve"> mbH &amp; Co KG, una società editrice con sede in Austria, in merito a una richiesta di risarcimento danni proposta da VI per lesioni personali derivanti dal fatto di aver seguito consigli inesatti sulla salute pubblicati in un giornale edito da tale società.</w:t>
      </w:r>
    </w:p>
    <w:p w14:paraId="2E32D211" w14:textId="1A195545" w:rsidR="00AB0980" w:rsidRDefault="000636CE" w:rsidP="000636CE">
      <w:pPr>
        <w:jc w:val="both"/>
        <w:rPr>
          <w:rFonts w:ascii="Times New Roman" w:hAnsi="Times New Roman" w:cs="Times New Roman"/>
          <w:b/>
          <w:bCs/>
          <w:sz w:val="24"/>
          <w:szCs w:val="24"/>
        </w:rPr>
      </w:pPr>
      <w:r w:rsidRPr="000636CE">
        <w:rPr>
          <w:rFonts w:ascii="Times New Roman" w:hAnsi="Times New Roman" w:cs="Times New Roman"/>
          <w:b/>
          <w:bCs/>
          <w:sz w:val="24"/>
          <w:szCs w:val="24"/>
        </w:rPr>
        <w:t> l’articolo 1 della direttiva 85/374, letto alla luce del secondo considerando, stabilisce il principio della </w:t>
      </w:r>
      <w:bookmarkStart w:id="1" w:name="ctx32"/>
      <w:r w:rsidRPr="000636CE">
        <w:rPr>
          <w:rFonts w:ascii="Times New Roman" w:hAnsi="Times New Roman" w:cs="Times New Roman"/>
          <w:b/>
          <w:bCs/>
          <w:sz w:val="24"/>
          <w:szCs w:val="24"/>
          <w:u w:val="single"/>
        </w:rPr>
        <w:t>responsabilità</w:t>
      </w:r>
      <w:bookmarkEnd w:id="1"/>
      <w:r w:rsidRPr="000636CE">
        <w:rPr>
          <w:rFonts w:ascii="Times New Roman" w:hAnsi="Times New Roman" w:cs="Times New Roman"/>
          <w:b/>
          <w:bCs/>
          <w:sz w:val="24"/>
          <w:szCs w:val="24"/>
          <w:u w:val="single"/>
        </w:rPr>
        <w:t> oggettiva del «</w:t>
      </w:r>
      <w:bookmarkStart w:id="2" w:name="ctx33"/>
      <w:r w:rsidRPr="000636CE">
        <w:rPr>
          <w:rFonts w:ascii="Times New Roman" w:hAnsi="Times New Roman" w:cs="Times New Roman"/>
          <w:b/>
          <w:bCs/>
          <w:sz w:val="24"/>
          <w:szCs w:val="24"/>
          <w:u w:val="single"/>
        </w:rPr>
        <w:t>produttore</w:t>
      </w:r>
      <w:bookmarkEnd w:id="2"/>
      <w:r w:rsidRPr="000636CE">
        <w:rPr>
          <w:rFonts w:ascii="Times New Roman" w:hAnsi="Times New Roman" w:cs="Times New Roman"/>
          <w:b/>
          <w:bCs/>
          <w:sz w:val="24"/>
          <w:szCs w:val="24"/>
          <w:u w:val="single"/>
        </w:rPr>
        <w:t>»,</w:t>
      </w:r>
      <w:r w:rsidRPr="000636CE">
        <w:rPr>
          <w:rFonts w:ascii="Times New Roman" w:hAnsi="Times New Roman" w:cs="Times New Roman"/>
          <w:b/>
          <w:bCs/>
          <w:sz w:val="24"/>
          <w:szCs w:val="24"/>
        </w:rPr>
        <w:t xml:space="preserve"> definito al successivo articolo 3, come il fabbricante di un prodotto finito, il </w:t>
      </w:r>
      <w:bookmarkStart w:id="3" w:name="ctx34"/>
      <w:r w:rsidRPr="000636CE">
        <w:rPr>
          <w:rFonts w:ascii="Times New Roman" w:hAnsi="Times New Roman" w:cs="Times New Roman"/>
          <w:b/>
          <w:bCs/>
          <w:sz w:val="24"/>
          <w:szCs w:val="24"/>
        </w:rPr>
        <w:t>produttore</w:t>
      </w:r>
      <w:bookmarkEnd w:id="3"/>
      <w:r w:rsidRPr="000636CE">
        <w:rPr>
          <w:rFonts w:ascii="Times New Roman" w:hAnsi="Times New Roman" w:cs="Times New Roman"/>
          <w:b/>
          <w:bCs/>
          <w:sz w:val="24"/>
          <w:szCs w:val="24"/>
        </w:rPr>
        <w:t> di una materia prima o il fabbricante di una componente, nonché qualsiasi persona che si presenti come </w:t>
      </w:r>
      <w:bookmarkStart w:id="4" w:name="ctx35"/>
      <w:r w:rsidRPr="000636CE">
        <w:rPr>
          <w:rFonts w:ascii="Times New Roman" w:hAnsi="Times New Roman" w:cs="Times New Roman"/>
          <w:b/>
          <w:bCs/>
          <w:sz w:val="24"/>
          <w:szCs w:val="24"/>
        </w:rPr>
        <w:t>produttore</w:t>
      </w:r>
      <w:bookmarkEnd w:id="4"/>
      <w:r w:rsidRPr="000636CE">
        <w:rPr>
          <w:rFonts w:ascii="Times New Roman" w:hAnsi="Times New Roman" w:cs="Times New Roman"/>
          <w:b/>
          <w:bCs/>
          <w:sz w:val="24"/>
          <w:szCs w:val="24"/>
        </w:rPr>
        <w:t> apponendo il proprio nome, marchio o altro segno distintivo sul prodotto, per i danni causati da un difetto del prodotto stesso.</w:t>
      </w:r>
    </w:p>
    <w:p w14:paraId="62B4A4C3" w14:textId="77777777" w:rsidR="000636CE" w:rsidRPr="000636CE" w:rsidRDefault="000636CE" w:rsidP="000636CE">
      <w:pPr>
        <w:rPr>
          <w:rFonts w:ascii="Times New Roman" w:hAnsi="Times New Roman" w:cs="Times New Roman"/>
          <w:b/>
          <w:bCs/>
          <w:sz w:val="24"/>
          <w:szCs w:val="24"/>
        </w:rPr>
      </w:pPr>
      <w:r w:rsidRPr="000636CE">
        <w:rPr>
          <w:rFonts w:ascii="Times New Roman" w:hAnsi="Times New Roman" w:cs="Times New Roman"/>
          <w:b/>
          <w:bCs/>
          <w:sz w:val="24"/>
          <w:szCs w:val="24"/>
        </w:rPr>
        <w:t> la </w:t>
      </w:r>
      <w:bookmarkStart w:id="5" w:name="ctx37"/>
      <w:r w:rsidRPr="000636CE">
        <w:rPr>
          <w:rFonts w:ascii="Times New Roman" w:hAnsi="Times New Roman" w:cs="Times New Roman"/>
          <w:b/>
          <w:bCs/>
          <w:sz w:val="24"/>
          <w:szCs w:val="24"/>
        </w:rPr>
        <w:t>responsabilità</w:t>
      </w:r>
      <w:bookmarkEnd w:id="5"/>
      <w:r w:rsidRPr="000636CE">
        <w:rPr>
          <w:rFonts w:ascii="Times New Roman" w:hAnsi="Times New Roman" w:cs="Times New Roman"/>
          <w:b/>
          <w:bCs/>
          <w:sz w:val="24"/>
          <w:szCs w:val="24"/>
        </w:rPr>
        <w:t> dei prestatori di servizi e la </w:t>
      </w:r>
      <w:bookmarkStart w:id="6" w:name="ctx38"/>
      <w:r w:rsidRPr="000636CE">
        <w:rPr>
          <w:rFonts w:ascii="Times New Roman" w:hAnsi="Times New Roman" w:cs="Times New Roman"/>
          <w:b/>
          <w:bCs/>
          <w:sz w:val="24"/>
          <w:szCs w:val="24"/>
        </w:rPr>
        <w:t>responsabilità</w:t>
      </w:r>
      <w:bookmarkEnd w:id="6"/>
      <w:r w:rsidRPr="000636CE">
        <w:rPr>
          <w:rFonts w:ascii="Times New Roman" w:hAnsi="Times New Roman" w:cs="Times New Roman"/>
          <w:b/>
          <w:bCs/>
          <w:sz w:val="24"/>
          <w:szCs w:val="24"/>
        </w:rPr>
        <w:t> dei fabbricanti di prodotti finiti costituiscono due regimi di </w:t>
      </w:r>
      <w:bookmarkStart w:id="7" w:name="ctx39"/>
      <w:r w:rsidRPr="000636CE">
        <w:rPr>
          <w:rFonts w:ascii="Times New Roman" w:hAnsi="Times New Roman" w:cs="Times New Roman"/>
          <w:b/>
          <w:bCs/>
          <w:sz w:val="24"/>
          <w:szCs w:val="24"/>
        </w:rPr>
        <w:t>responsabilità</w:t>
      </w:r>
      <w:bookmarkEnd w:id="7"/>
      <w:r w:rsidRPr="000636CE">
        <w:rPr>
          <w:rFonts w:ascii="Times New Roman" w:hAnsi="Times New Roman" w:cs="Times New Roman"/>
          <w:b/>
          <w:bCs/>
          <w:sz w:val="24"/>
          <w:szCs w:val="24"/>
        </w:rPr>
        <w:t xml:space="preserve"> distinti, in quanto l’attività dei prestatori di servizi non è assimilata a quella dei produttori, degli importatori e dei fornitori (v., in tal senso, sentenza del 21 dicembre 2011, </w:t>
      </w:r>
      <w:proofErr w:type="spellStart"/>
      <w:r w:rsidRPr="000636CE">
        <w:rPr>
          <w:rFonts w:ascii="Times New Roman" w:hAnsi="Times New Roman" w:cs="Times New Roman"/>
          <w:b/>
          <w:bCs/>
          <w:sz w:val="24"/>
          <w:szCs w:val="24"/>
        </w:rPr>
        <w:t>Dutrueux</w:t>
      </w:r>
      <w:proofErr w:type="spellEnd"/>
      <w:r w:rsidRPr="000636CE">
        <w:rPr>
          <w:rFonts w:ascii="Times New Roman" w:hAnsi="Times New Roman" w:cs="Times New Roman"/>
          <w:b/>
          <w:bCs/>
          <w:sz w:val="24"/>
          <w:szCs w:val="24"/>
        </w:rPr>
        <w:t>, C</w:t>
      </w:r>
      <w:r w:rsidRPr="000636CE">
        <w:rPr>
          <w:rFonts w:ascii="Times New Roman" w:hAnsi="Times New Roman" w:cs="Times New Roman"/>
          <w:b/>
          <w:bCs/>
          <w:sz w:val="24"/>
          <w:szCs w:val="24"/>
        </w:rPr>
        <w:noBreakHyphen/>
        <w:t>495/10, EU:C:2011:869, punti 32 e 33). Infatti, come risulta anche dalla proposta della Commissione, del 9 novembre 1990, di direttiva del Consiglio sulla </w:t>
      </w:r>
      <w:bookmarkStart w:id="8" w:name="ctx40"/>
      <w:r w:rsidRPr="000636CE">
        <w:rPr>
          <w:rFonts w:ascii="Times New Roman" w:hAnsi="Times New Roman" w:cs="Times New Roman"/>
          <w:b/>
          <w:bCs/>
          <w:sz w:val="24"/>
          <w:szCs w:val="24"/>
        </w:rPr>
        <w:t>responsabilità</w:t>
      </w:r>
      <w:bookmarkEnd w:id="8"/>
      <w:r w:rsidRPr="000636CE">
        <w:rPr>
          <w:rFonts w:ascii="Times New Roman" w:hAnsi="Times New Roman" w:cs="Times New Roman"/>
          <w:b/>
          <w:bCs/>
          <w:sz w:val="24"/>
          <w:szCs w:val="24"/>
        </w:rPr>
        <w:t xml:space="preserve"> del prestatore di servizi COM(90) 482 </w:t>
      </w:r>
      <w:proofErr w:type="spellStart"/>
      <w:r w:rsidRPr="000636CE">
        <w:rPr>
          <w:rFonts w:ascii="Times New Roman" w:hAnsi="Times New Roman" w:cs="Times New Roman"/>
          <w:b/>
          <w:bCs/>
          <w:sz w:val="24"/>
          <w:szCs w:val="24"/>
        </w:rPr>
        <w:t>def</w:t>
      </w:r>
      <w:proofErr w:type="spellEnd"/>
      <w:r w:rsidRPr="000636CE">
        <w:rPr>
          <w:rFonts w:ascii="Times New Roman" w:hAnsi="Times New Roman" w:cs="Times New Roman"/>
          <w:b/>
          <w:bCs/>
          <w:sz w:val="24"/>
          <w:szCs w:val="24"/>
        </w:rPr>
        <w:t>. (GU 1991, C 12, pag. 8), tenuto conto delle caratteristiche specifiche dei servizi, il regime di </w:t>
      </w:r>
      <w:bookmarkStart w:id="9" w:name="ctx41"/>
      <w:r w:rsidRPr="000636CE">
        <w:rPr>
          <w:rFonts w:ascii="Times New Roman" w:hAnsi="Times New Roman" w:cs="Times New Roman"/>
          <w:b/>
          <w:bCs/>
          <w:sz w:val="24"/>
          <w:szCs w:val="24"/>
        </w:rPr>
        <w:t>responsabilità</w:t>
      </w:r>
      <w:bookmarkEnd w:id="9"/>
      <w:r w:rsidRPr="000636CE">
        <w:rPr>
          <w:rFonts w:ascii="Times New Roman" w:hAnsi="Times New Roman" w:cs="Times New Roman"/>
          <w:b/>
          <w:bCs/>
          <w:sz w:val="24"/>
          <w:szCs w:val="24"/>
        </w:rPr>
        <w:t> del prestatore dovrebbe essere disciplinato separatamente.</w:t>
      </w:r>
    </w:p>
    <w:p w14:paraId="4721B36B" w14:textId="5CE7C51E" w:rsidR="000636CE" w:rsidRPr="000636CE" w:rsidRDefault="000636CE" w:rsidP="000636CE">
      <w:pPr>
        <w:rPr>
          <w:rFonts w:ascii="Times New Roman" w:hAnsi="Times New Roman" w:cs="Times New Roman"/>
          <w:b/>
          <w:bCs/>
          <w:sz w:val="24"/>
          <w:szCs w:val="24"/>
        </w:rPr>
      </w:pPr>
      <w:r w:rsidRPr="000636CE">
        <w:rPr>
          <w:rFonts w:ascii="Times New Roman" w:hAnsi="Times New Roman" w:cs="Times New Roman"/>
          <w:b/>
          <w:bCs/>
          <w:sz w:val="24"/>
          <w:szCs w:val="24"/>
        </w:rPr>
        <w:lastRenderedPageBreak/>
        <w:t>Pertanto, un consiglio inesatto sulla salute pubblicato in un giornale stampato riguardante l’uso di un altro bene materiale esula dalla sfera di applicazione della direttiva 85/374 e non è idoneo a rendere il giornale stesso difettoso facendo così sorgere, sulla base della direttiva medesima, la </w:t>
      </w:r>
      <w:bookmarkStart w:id="10" w:name="ctx42"/>
      <w:r w:rsidRPr="000636CE">
        <w:rPr>
          <w:rFonts w:ascii="Times New Roman" w:hAnsi="Times New Roman" w:cs="Times New Roman"/>
          <w:b/>
          <w:bCs/>
          <w:sz w:val="24"/>
          <w:szCs w:val="24"/>
        </w:rPr>
        <w:t>responsabilità</w:t>
      </w:r>
      <w:bookmarkEnd w:id="10"/>
      <w:r w:rsidRPr="000636CE">
        <w:rPr>
          <w:rFonts w:ascii="Times New Roman" w:hAnsi="Times New Roman" w:cs="Times New Roman"/>
          <w:b/>
          <w:bCs/>
          <w:sz w:val="24"/>
          <w:szCs w:val="24"/>
        </w:rPr>
        <w:t> oggettiva del «</w:t>
      </w:r>
      <w:bookmarkStart w:id="11" w:name="ctx43"/>
      <w:r w:rsidRPr="000636CE">
        <w:rPr>
          <w:rFonts w:ascii="Times New Roman" w:hAnsi="Times New Roman" w:cs="Times New Roman"/>
          <w:b/>
          <w:bCs/>
          <w:sz w:val="24"/>
          <w:szCs w:val="24"/>
        </w:rPr>
        <w:t>produttore</w:t>
      </w:r>
      <w:bookmarkEnd w:id="11"/>
      <w:r w:rsidRPr="000636CE">
        <w:rPr>
          <w:rFonts w:ascii="Times New Roman" w:hAnsi="Times New Roman" w:cs="Times New Roman"/>
          <w:b/>
          <w:bCs/>
          <w:sz w:val="24"/>
          <w:szCs w:val="24"/>
        </w:rPr>
        <w:t>», sia esso l’editore o il tipografo del giornale o l’autore dell’articolo.</w:t>
      </w:r>
    </w:p>
    <w:p w14:paraId="5F095C19" w14:textId="77777777" w:rsidR="000636CE" w:rsidRDefault="000636CE" w:rsidP="000636CE">
      <w:pPr>
        <w:rPr>
          <w:rFonts w:ascii="Times New Roman" w:hAnsi="Times New Roman" w:cs="Times New Roman"/>
          <w:b/>
          <w:bCs/>
          <w:sz w:val="24"/>
          <w:szCs w:val="24"/>
        </w:rPr>
      </w:pPr>
      <w:r w:rsidRPr="000636CE">
        <w:rPr>
          <w:rFonts w:ascii="Times New Roman" w:hAnsi="Times New Roman" w:cs="Times New Roman"/>
          <w:b/>
          <w:bCs/>
          <w:sz w:val="24"/>
          <w:szCs w:val="24"/>
        </w:rPr>
        <w:t>Se tali consigli dovessero ricadere nell’ambito di applicazione della direttiva 85/374, ne deriverebbe la conseguenza non solo di negare la distinzione tracciata dal legislatore dell’Unione tra prodotti e servizi e l’esclusione di questi ultimi dall’ambito di applicazione della direttiva stessa, ma anche di rendere gli editori di giornali responsabili senza colpa, senza alcuna possibilità, o con una possibilità limitata, di esimersi da tale </w:t>
      </w:r>
      <w:bookmarkStart w:id="12" w:name="ctx44"/>
      <w:r w:rsidRPr="000636CE">
        <w:rPr>
          <w:rFonts w:ascii="Times New Roman" w:hAnsi="Times New Roman" w:cs="Times New Roman"/>
          <w:b/>
          <w:bCs/>
          <w:sz w:val="24"/>
          <w:szCs w:val="24"/>
        </w:rPr>
        <w:t>responsabilità</w:t>
      </w:r>
      <w:bookmarkEnd w:id="12"/>
      <w:r w:rsidRPr="000636CE">
        <w:rPr>
          <w:rFonts w:ascii="Times New Roman" w:hAnsi="Times New Roman" w:cs="Times New Roman"/>
          <w:b/>
          <w:bCs/>
          <w:sz w:val="24"/>
          <w:szCs w:val="24"/>
        </w:rPr>
        <w:t>. Orbene, una conseguenza del genere comprometterebbe l’obiettivo consistente nel garantire un’equa ripartizione dei rischi tra la vittima e il </w:t>
      </w:r>
      <w:bookmarkStart w:id="13" w:name="ctx45"/>
      <w:r w:rsidRPr="000636CE">
        <w:rPr>
          <w:rFonts w:ascii="Times New Roman" w:hAnsi="Times New Roman" w:cs="Times New Roman"/>
          <w:b/>
          <w:bCs/>
          <w:sz w:val="24"/>
          <w:szCs w:val="24"/>
        </w:rPr>
        <w:t>produttore</w:t>
      </w:r>
      <w:bookmarkEnd w:id="13"/>
      <w:r w:rsidRPr="000636CE">
        <w:rPr>
          <w:rFonts w:ascii="Times New Roman" w:hAnsi="Times New Roman" w:cs="Times New Roman"/>
          <w:b/>
          <w:bCs/>
          <w:sz w:val="24"/>
          <w:szCs w:val="24"/>
        </w:rPr>
        <w:t>, come ricordato nel settimo considerando della direttiva medesima.</w:t>
      </w:r>
    </w:p>
    <w:p w14:paraId="03E332E8" w14:textId="18F73718" w:rsidR="000636CE" w:rsidRPr="000636CE" w:rsidRDefault="000636CE" w:rsidP="000636CE">
      <w:pPr>
        <w:rPr>
          <w:rFonts w:ascii="Times New Roman" w:hAnsi="Times New Roman" w:cs="Times New Roman"/>
          <w:b/>
          <w:bCs/>
          <w:sz w:val="24"/>
          <w:szCs w:val="24"/>
        </w:rPr>
      </w:pPr>
      <w:r w:rsidRPr="000636CE">
        <w:rPr>
          <w:rFonts w:ascii="Times New Roman" w:hAnsi="Times New Roman" w:cs="Times New Roman"/>
          <w:b/>
          <w:bCs/>
          <w:sz w:val="24"/>
          <w:szCs w:val="24"/>
        </w:rPr>
        <w:t>Occorre inoltre precisare, come ha fatto la Commissione nelle proprie osservazioni scritte, che, sebbene la </w:t>
      </w:r>
      <w:bookmarkStart w:id="14" w:name="ctx46"/>
      <w:r w:rsidRPr="000636CE">
        <w:rPr>
          <w:rFonts w:ascii="Times New Roman" w:hAnsi="Times New Roman" w:cs="Times New Roman"/>
          <w:b/>
          <w:bCs/>
          <w:sz w:val="24"/>
          <w:szCs w:val="24"/>
        </w:rPr>
        <w:t>responsabilità</w:t>
      </w:r>
      <w:bookmarkEnd w:id="14"/>
      <w:r w:rsidRPr="000636CE">
        <w:rPr>
          <w:rFonts w:ascii="Times New Roman" w:hAnsi="Times New Roman" w:cs="Times New Roman"/>
          <w:b/>
          <w:bCs/>
          <w:sz w:val="24"/>
          <w:szCs w:val="24"/>
        </w:rPr>
        <w:t> oggettiva per danno da prodotti difettosi, prevista dalla direttiva 85/374, non sia applicabile a un caso come quello di cui trattasi nel procedimento principale, possono essere considerati applicabili altri regimi di </w:t>
      </w:r>
      <w:bookmarkStart w:id="15" w:name="ctx47"/>
      <w:r w:rsidRPr="000636CE">
        <w:rPr>
          <w:rFonts w:ascii="Times New Roman" w:hAnsi="Times New Roman" w:cs="Times New Roman"/>
          <w:b/>
          <w:bCs/>
          <w:sz w:val="24"/>
          <w:szCs w:val="24"/>
        </w:rPr>
        <w:t>responsabilità</w:t>
      </w:r>
      <w:bookmarkEnd w:id="15"/>
      <w:r w:rsidRPr="000636CE">
        <w:rPr>
          <w:rFonts w:ascii="Times New Roman" w:hAnsi="Times New Roman" w:cs="Times New Roman"/>
          <w:b/>
          <w:bCs/>
          <w:sz w:val="24"/>
          <w:szCs w:val="24"/>
        </w:rPr>
        <w:t xml:space="preserve"> contrattuale o extracontrattuale basati su elementi diversi, quale la garanzia per vizi occulti o la colpa (v., per analogia, sentenza del 25 aprile 2002, González </w:t>
      </w:r>
      <w:proofErr w:type="spellStart"/>
      <w:r w:rsidRPr="000636CE">
        <w:rPr>
          <w:rFonts w:ascii="Times New Roman" w:hAnsi="Times New Roman" w:cs="Times New Roman"/>
          <w:b/>
          <w:bCs/>
          <w:sz w:val="24"/>
          <w:szCs w:val="24"/>
        </w:rPr>
        <w:t>Sánchez</w:t>
      </w:r>
      <w:proofErr w:type="spellEnd"/>
      <w:r w:rsidRPr="000636CE">
        <w:rPr>
          <w:rFonts w:ascii="Times New Roman" w:hAnsi="Times New Roman" w:cs="Times New Roman"/>
          <w:b/>
          <w:bCs/>
          <w:sz w:val="24"/>
          <w:szCs w:val="24"/>
        </w:rPr>
        <w:t>, C</w:t>
      </w:r>
      <w:r w:rsidRPr="000636CE">
        <w:rPr>
          <w:rFonts w:ascii="Times New Roman" w:hAnsi="Times New Roman" w:cs="Times New Roman"/>
          <w:b/>
          <w:bCs/>
          <w:sz w:val="24"/>
          <w:szCs w:val="24"/>
        </w:rPr>
        <w:noBreakHyphen/>
        <w:t>183/00, EU:C:2002:255, punto 31).</w:t>
      </w:r>
    </w:p>
    <w:p w14:paraId="6EB1ABF7" w14:textId="77777777" w:rsidR="00AB0980" w:rsidRDefault="00AB0980" w:rsidP="008F666C">
      <w:pPr>
        <w:rPr>
          <w:rFonts w:ascii="Times New Roman" w:hAnsi="Times New Roman" w:cs="Times New Roman"/>
          <w:b/>
          <w:bCs/>
          <w:sz w:val="24"/>
          <w:szCs w:val="24"/>
        </w:rPr>
      </w:pPr>
    </w:p>
    <w:p w14:paraId="311F221C" w14:textId="77777777" w:rsidR="00AB0980" w:rsidRDefault="00AB0980" w:rsidP="008F666C">
      <w:pPr>
        <w:rPr>
          <w:rFonts w:ascii="Times New Roman" w:hAnsi="Times New Roman" w:cs="Times New Roman"/>
          <w:b/>
          <w:bCs/>
          <w:sz w:val="24"/>
          <w:szCs w:val="24"/>
        </w:rPr>
      </w:pPr>
    </w:p>
    <w:p w14:paraId="126C5DEC" w14:textId="77777777" w:rsidR="00AB0980" w:rsidRDefault="00AB0980" w:rsidP="008F666C">
      <w:pPr>
        <w:rPr>
          <w:rFonts w:ascii="Times New Roman" w:hAnsi="Times New Roman" w:cs="Times New Roman"/>
          <w:b/>
          <w:bCs/>
          <w:sz w:val="24"/>
          <w:szCs w:val="24"/>
        </w:rPr>
      </w:pPr>
    </w:p>
    <w:p w14:paraId="625BE0BA" w14:textId="77777777" w:rsidR="00AB0980" w:rsidRDefault="00AB0980" w:rsidP="008F666C">
      <w:pPr>
        <w:rPr>
          <w:rFonts w:ascii="Times New Roman" w:hAnsi="Times New Roman" w:cs="Times New Roman"/>
          <w:b/>
          <w:bCs/>
          <w:sz w:val="24"/>
          <w:szCs w:val="24"/>
        </w:rPr>
      </w:pPr>
    </w:p>
    <w:p w14:paraId="79C93009" w14:textId="77777777" w:rsidR="00AB0980" w:rsidRDefault="00AB0980" w:rsidP="008F666C">
      <w:pPr>
        <w:rPr>
          <w:rFonts w:ascii="Times New Roman" w:hAnsi="Times New Roman" w:cs="Times New Roman"/>
          <w:b/>
          <w:bCs/>
          <w:sz w:val="24"/>
          <w:szCs w:val="24"/>
        </w:rPr>
      </w:pPr>
    </w:p>
    <w:p w14:paraId="3644BBC3" w14:textId="77777777" w:rsidR="00AB0980" w:rsidRDefault="00AB0980" w:rsidP="008F666C">
      <w:pPr>
        <w:rPr>
          <w:rFonts w:ascii="Times New Roman" w:hAnsi="Times New Roman" w:cs="Times New Roman"/>
          <w:b/>
          <w:bCs/>
          <w:sz w:val="24"/>
          <w:szCs w:val="24"/>
        </w:rPr>
      </w:pPr>
    </w:p>
    <w:p w14:paraId="05E3F04D" w14:textId="77777777" w:rsidR="00AB0980" w:rsidRDefault="00AB0980" w:rsidP="008F666C">
      <w:pPr>
        <w:rPr>
          <w:rFonts w:ascii="Times New Roman" w:hAnsi="Times New Roman" w:cs="Times New Roman"/>
          <w:b/>
          <w:bCs/>
          <w:sz w:val="24"/>
          <w:szCs w:val="24"/>
        </w:rPr>
      </w:pPr>
    </w:p>
    <w:p w14:paraId="14865FE4" w14:textId="77777777" w:rsidR="00AB0980" w:rsidRDefault="00AB0980" w:rsidP="008F666C">
      <w:pPr>
        <w:rPr>
          <w:rFonts w:ascii="Times New Roman" w:hAnsi="Times New Roman" w:cs="Times New Roman"/>
          <w:b/>
          <w:bCs/>
          <w:sz w:val="24"/>
          <w:szCs w:val="24"/>
        </w:rPr>
      </w:pPr>
    </w:p>
    <w:p w14:paraId="02195DDC" w14:textId="77777777" w:rsidR="00AB0980" w:rsidRDefault="00AB0980" w:rsidP="008F666C">
      <w:pPr>
        <w:rPr>
          <w:rFonts w:ascii="Times New Roman" w:hAnsi="Times New Roman" w:cs="Times New Roman"/>
          <w:b/>
          <w:bCs/>
          <w:sz w:val="24"/>
          <w:szCs w:val="24"/>
        </w:rPr>
      </w:pPr>
    </w:p>
    <w:p w14:paraId="223284F5" w14:textId="77777777" w:rsidR="00AB0980" w:rsidRDefault="00AB0980" w:rsidP="008F666C">
      <w:pPr>
        <w:rPr>
          <w:rFonts w:ascii="Times New Roman" w:hAnsi="Times New Roman" w:cs="Times New Roman"/>
          <w:b/>
          <w:bCs/>
          <w:sz w:val="24"/>
          <w:szCs w:val="24"/>
        </w:rPr>
      </w:pPr>
    </w:p>
    <w:p w14:paraId="07238227" w14:textId="77777777" w:rsidR="00AB0980" w:rsidRDefault="00AB0980" w:rsidP="008F666C">
      <w:pPr>
        <w:rPr>
          <w:rFonts w:ascii="Times New Roman" w:hAnsi="Times New Roman" w:cs="Times New Roman"/>
          <w:b/>
          <w:bCs/>
          <w:sz w:val="24"/>
          <w:szCs w:val="24"/>
        </w:rPr>
      </w:pPr>
    </w:p>
    <w:p w14:paraId="761D7A1F" w14:textId="051F16C2" w:rsidR="00AB0980" w:rsidRDefault="00AB0980" w:rsidP="008F666C">
      <w:pPr>
        <w:rPr>
          <w:rFonts w:ascii="Times New Roman" w:hAnsi="Times New Roman" w:cs="Times New Roman"/>
          <w:b/>
          <w:bCs/>
          <w:sz w:val="24"/>
          <w:szCs w:val="24"/>
        </w:rPr>
      </w:pPr>
    </w:p>
    <w:p w14:paraId="14B8C4A1" w14:textId="0F5C1827" w:rsidR="000636CE" w:rsidRDefault="000636CE" w:rsidP="008F666C">
      <w:pPr>
        <w:rPr>
          <w:rFonts w:ascii="Times New Roman" w:hAnsi="Times New Roman" w:cs="Times New Roman"/>
          <w:b/>
          <w:bCs/>
          <w:sz w:val="24"/>
          <w:szCs w:val="24"/>
        </w:rPr>
      </w:pPr>
    </w:p>
    <w:p w14:paraId="5B174477" w14:textId="77777777" w:rsidR="000636CE" w:rsidRDefault="000636CE" w:rsidP="008F666C">
      <w:pPr>
        <w:rPr>
          <w:rFonts w:ascii="Times New Roman" w:hAnsi="Times New Roman" w:cs="Times New Roman"/>
          <w:b/>
          <w:bCs/>
          <w:sz w:val="24"/>
          <w:szCs w:val="24"/>
        </w:rPr>
      </w:pPr>
    </w:p>
    <w:p w14:paraId="63E2F434" w14:textId="77777777" w:rsidR="00AB0980" w:rsidRDefault="00AB0980" w:rsidP="008F666C">
      <w:pPr>
        <w:rPr>
          <w:rFonts w:ascii="Times New Roman" w:hAnsi="Times New Roman" w:cs="Times New Roman"/>
          <w:b/>
          <w:bCs/>
          <w:sz w:val="24"/>
          <w:szCs w:val="24"/>
        </w:rPr>
      </w:pPr>
    </w:p>
    <w:p w14:paraId="22CAA08E" w14:textId="77777777" w:rsidR="00E34A62" w:rsidRDefault="00E34A62" w:rsidP="008F666C">
      <w:pPr>
        <w:rPr>
          <w:rFonts w:ascii="Times New Roman" w:hAnsi="Times New Roman" w:cs="Times New Roman"/>
          <w:b/>
          <w:bCs/>
          <w:sz w:val="24"/>
          <w:szCs w:val="24"/>
        </w:rPr>
      </w:pPr>
    </w:p>
    <w:p w14:paraId="4C53D5CD" w14:textId="77777777" w:rsidR="00E34A62" w:rsidRDefault="00E34A62" w:rsidP="008F666C">
      <w:pPr>
        <w:rPr>
          <w:rFonts w:ascii="Times New Roman" w:hAnsi="Times New Roman" w:cs="Times New Roman"/>
          <w:b/>
          <w:bCs/>
          <w:sz w:val="24"/>
          <w:szCs w:val="24"/>
        </w:rPr>
      </w:pPr>
    </w:p>
    <w:p w14:paraId="14BF5792" w14:textId="527E24BA" w:rsidR="008F666C" w:rsidRDefault="008F666C" w:rsidP="008F666C">
      <w:pPr>
        <w:rPr>
          <w:rFonts w:ascii="Times New Roman" w:hAnsi="Times New Roman" w:cs="Times New Roman"/>
          <w:b/>
          <w:bCs/>
          <w:sz w:val="24"/>
          <w:szCs w:val="24"/>
        </w:rPr>
      </w:pPr>
      <w:r>
        <w:rPr>
          <w:rFonts w:ascii="Times New Roman" w:hAnsi="Times New Roman" w:cs="Times New Roman"/>
          <w:b/>
          <w:bCs/>
          <w:sz w:val="24"/>
          <w:szCs w:val="24"/>
        </w:rPr>
        <w:lastRenderedPageBreak/>
        <w:t>DIRITTO DELL’UNIONE EUROPEA</w:t>
      </w:r>
    </w:p>
    <w:p w14:paraId="0B8F2601" w14:textId="77777777" w:rsidR="00AB0980" w:rsidRDefault="00AB0980" w:rsidP="008F666C">
      <w:r w:rsidRPr="00AB0980">
        <w:rPr>
          <w:noProof/>
        </w:rPr>
        <w:drawing>
          <wp:inline distT="0" distB="0" distL="0" distR="0" wp14:anchorId="61F90269" wp14:editId="28DE5634">
            <wp:extent cx="6120130" cy="7084695"/>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7084695"/>
                    </a:xfrm>
                    <a:prstGeom prst="rect">
                      <a:avLst/>
                    </a:prstGeom>
                    <a:noFill/>
                    <a:ln>
                      <a:noFill/>
                    </a:ln>
                  </pic:spPr>
                </pic:pic>
              </a:graphicData>
            </a:graphic>
          </wp:inline>
        </w:drawing>
      </w:r>
    </w:p>
    <w:p w14:paraId="0DB19D0E" w14:textId="77777777" w:rsidR="00AB0980" w:rsidRPr="00AB0980" w:rsidRDefault="00AB0980" w:rsidP="00AB0980">
      <w:pPr>
        <w:rPr>
          <w:rFonts w:ascii="Times New Roman" w:hAnsi="Times New Roman" w:cs="Times New Roman"/>
          <w:sz w:val="24"/>
          <w:szCs w:val="24"/>
        </w:rPr>
      </w:pPr>
    </w:p>
    <w:p w14:paraId="71E2C766" w14:textId="77777777" w:rsidR="00AB0980" w:rsidRDefault="00AB0980" w:rsidP="00AB0980">
      <w:r w:rsidRPr="00AB0980">
        <w:rPr>
          <w:noProof/>
        </w:rPr>
        <w:drawing>
          <wp:inline distT="0" distB="0" distL="0" distR="0" wp14:anchorId="749DDD7B" wp14:editId="6746BAA8">
            <wp:extent cx="6120130" cy="854075"/>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854075"/>
                    </a:xfrm>
                    <a:prstGeom prst="rect">
                      <a:avLst/>
                    </a:prstGeom>
                    <a:noFill/>
                    <a:ln>
                      <a:noFill/>
                    </a:ln>
                  </pic:spPr>
                </pic:pic>
              </a:graphicData>
            </a:graphic>
          </wp:inline>
        </w:drawing>
      </w:r>
    </w:p>
    <w:p w14:paraId="24087F6E" w14:textId="77777777" w:rsidR="00AB0980" w:rsidRDefault="00AB0980" w:rsidP="00AB0980">
      <w:pPr>
        <w:tabs>
          <w:tab w:val="left" w:pos="2610"/>
        </w:tabs>
        <w:rPr>
          <w:rFonts w:ascii="Times New Roman" w:hAnsi="Times New Roman" w:cs="Times New Roman"/>
          <w:sz w:val="24"/>
          <w:szCs w:val="24"/>
        </w:rPr>
      </w:pPr>
      <w:r>
        <w:rPr>
          <w:rFonts w:ascii="Times New Roman" w:hAnsi="Times New Roman" w:cs="Times New Roman"/>
          <w:sz w:val="24"/>
          <w:szCs w:val="24"/>
        </w:rPr>
        <w:tab/>
      </w:r>
    </w:p>
    <w:p w14:paraId="750D5DAC" w14:textId="77777777" w:rsidR="00D1776A" w:rsidRDefault="00D1776A" w:rsidP="00AB0980">
      <w:pPr>
        <w:tabs>
          <w:tab w:val="left" w:pos="2610"/>
        </w:tabs>
        <w:rPr>
          <w:rFonts w:ascii="Times New Roman" w:hAnsi="Times New Roman" w:cs="Times New Roman"/>
          <w:sz w:val="24"/>
          <w:szCs w:val="24"/>
        </w:rPr>
      </w:pPr>
      <w:r w:rsidRPr="00D1776A">
        <w:rPr>
          <w:noProof/>
        </w:rPr>
        <w:lastRenderedPageBreak/>
        <w:drawing>
          <wp:inline distT="0" distB="0" distL="0" distR="0" wp14:anchorId="1F73AC5B" wp14:editId="33A7D30F">
            <wp:extent cx="6120130" cy="3710940"/>
            <wp:effectExtent l="0" t="0" r="0"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3710940"/>
                    </a:xfrm>
                    <a:prstGeom prst="rect">
                      <a:avLst/>
                    </a:prstGeom>
                    <a:noFill/>
                    <a:ln>
                      <a:noFill/>
                    </a:ln>
                  </pic:spPr>
                </pic:pic>
              </a:graphicData>
            </a:graphic>
          </wp:inline>
        </w:drawing>
      </w:r>
    </w:p>
    <w:p w14:paraId="16F0277F" w14:textId="77777777" w:rsidR="000636CE" w:rsidRPr="000636CE" w:rsidRDefault="000636CE" w:rsidP="00A0281D">
      <w:pPr>
        <w:tabs>
          <w:tab w:val="left" w:pos="2610"/>
        </w:tabs>
        <w:jc w:val="center"/>
        <w:rPr>
          <w:rFonts w:ascii="Times New Roman" w:hAnsi="Times New Roman" w:cs="Times New Roman"/>
          <w:sz w:val="24"/>
          <w:szCs w:val="24"/>
        </w:rPr>
      </w:pPr>
      <w:r w:rsidRPr="000636CE">
        <w:rPr>
          <w:rFonts w:ascii="Times New Roman" w:hAnsi="Times New Roman" w:cs="Times New Roman"/>
          <w:sz w:val="24"/>
          <w:szCs w:val="24"/>
        </w:rPr>
        <w:t>CONCLUSIONI DELL’AVVOCATO GENERALE</w:t>
      </w:r>
    </w:p>
    <w:p w14:paraId="1627E7BD" w14:textId="77777777" w:rsidR="000636CE" w:rsidRPr="000636CE" w:rsidRDefault="000636CE" w:rsidP="000636CE">
      <w:pPr>
        <w:tabs>
          <w:tab w:val="left" w:pos="2610"/>
        </w:tabs>
        <w:rPr>
          <w:rFonts w:ascii="Times New Roman" w:hAnsi="Times New Roman" w:cs="Times New Roman"/>
          <w:sz w:val="24"/>
          <w:szCs w:val="24"/>
        </w:rPr>
      </w:pPr>
      <w:r w:rsidRPr="000636CE">
        <w:rPr>
          <w:rFonts w:ascii="Times New Roman" w:hAnsi="Times New Roman" w:cs="Times New Roman"/>
          <w:sz w:val="24"/>
          <w:szCs w:val="24"/>
        </w:rPr>
        <w:t>GERARD HOGAN</w:t>
      </w:r>
    </w:p>
    <w:p w14:paraId="13F204C5" w14:textId="77777777" w:rsidR="000636CE" w:rsidRPr="000636CE" w:rsidRDefault="000636CE" w:rsidP="000636CE">
      <w:pPr>
        <w:tabs>
          <w:tab w:val="left" w:pos="2610"/>
        </w:tabs>
        <w:rPr>
          <w:rFonts w:ascii="Times New Roman" w:hAnsi="Times New Roman" w:cs="Times New Roman"/>
          <w:sz w:val="24"/>
          <w:szCs w:val="24"/>
        </w:rPr>
      </w:pPr>
      <w:r w:rsidRPr="000636CE">
        <w:rPr>
          <w:rFonts w:ascii="Times New Roman" w:hAnsi="Times New Roman" w:cs="Times New Roman"/>
          <w:sz w:val="24"/>
          <w:szCs w:val="24"/>
          <w:u w:val="single"/>
        </w:rPr>
        <w:t>presentate il 9 settembre 2021</w:t>
      </w:r>
      <w:r w:rsidRPr="000636CE">
        <w:rPr>
          <w:rFonts w:ascii="Times New Roman" w:hAnsi="Times New Roman" w:cs="Times New Roman"/>
          <w:sz w:val="24"/>
          <w:szCs w:val="24"/>
        </w:rPr>
        <w:t> (</w:t>
      </w:r>
      <w:bookmarkStart w:id="16" w:name="Footref1"/>
      <w:r w:rsidRPr="000636CE">
        <w:rPr>
          <w:rFonts w:ascii="Times New Roman" w:hAnsi="Times New Roman" w:cs="Times New Roman"/>
          <w:sz w:val="24"/>
          <w:szCs w:val="24"/>
        </w:rPr>
        <w:fldChar w:fldCharType="begin"/>
      </w:r>
      <w:r w:rsidRPr="000636CE">
        <w:rPr>
          <w:rFonts w:ascii="Times New Roman" w:hAnsi="Times New Roman" w:cs="Times New Roman"/>
          <w:sz w:val="24"/>
          <w:szCs w:val="24"/>
        </w:rPr>
        <w:instrText xml:space="preserve"> HYPERLINK "https://curia.europa.eu/juris/document/document.jsf?text=RESPONSABILITA%2Bstato%2Bgiudici%2Bultima%2Bistanza&amp;docid=245768&amp;pageIndex=0&amp;doclang=it&amp;mode=req&amp;dir=&amp;occ=first&amp;part=1&amp;cid=1594775" \l "Footnote1" </w:instrText>
      </w:r>
      <w:r w:rsidRPr="000636CE">
        <w:rPr>
          <w:rFonts w:ascii="Times New Roman" w:hAnsi="Times New Roman" w:cs="Times New Roman"/>
          <w:sz w:val="24"/>
          <w:szCs w:val="24"/>
        </w:rPr>
        <w:fldChar w:fldCharType="separate"/>
      </w:r>
      <w:r w:rsidRPr="000636CE">
        <w:rPr>
          <w:rStyle w:val="Collegamentoipertestuale"/>
          <w:rFonts w:ascii="Times New Roman" w:hAnsi="Times New Roman" w:cs="Times New Roman"/>
          <w:sz w:val="24"/>
          <w:szCs w:val="24"/>
        </w:rPr>
        <w:t>1</w:t>
      </w:r>
      <w:r w:rsidRPr="000636CE">
        <w:rPr>
          <w:rFonts w:ascii="Times New Roman" w:hAnsi="Times New Roman" w:cs="Times New Roman"/>
          <w:sz w:val="24"/>
          <w:szCs w:val="24"/>
        </w:rPr>
        <w:fldChar w:fldCharType="end"/>
      </w:r>
      <w:bookmarkEnd w:id="16"/>
      <w:r w:rsidRPr="000636CE">
        <w:rPr>
          <w:rFonts w:ascii="Times New Roman" w:hAnsi="Times New Roman" w:cs="Times New Roman"/>
          <w:sz w:val="24"/>
          <w:szCs w:val="24"/>
        </w:rPr>
        <w:t>)</w:t>
      </w:r>
    </w:p>
    <w:p w14:paraId="62E05FE5" w14:textId="0B92960C" w:rsidR="000636CE" w:rsidRPr="000636CE" w:rsidRDefault="000636CE" w:rsidP="000636CE">
      <w:pPr>
        <w:tabs>
          <w:tab w:val="left" w:pos="2610"/>
        </w:tabs>
        <w:rPr>
          <w:rFonts w:ascii="Times New Roman" w:hAnsi="Times New Roman" w:cs="Times New Roman"/>
          <w:sz w:val="24"/>
          <w:szCs w:val="24"/>
        </w:rPr>
      </w:pPr>
      <w:r w:rsidRPr="000636CE">
        <w:rPr>
          <w:rFonts w:ascii="Times New Roman" w:hAnsi="Times New Roman" w:cs="Times New Roman"/>
          <w:b/>
          <w:bCs/>
          <w:sz w:val="24"/>
          <w:szCs w:val="24"/>
        </w:rPr>
        <w:t>Causa C</w:t>
      </w:r>
      <w:r w:rsidRPr="000636CE">
        <w:rPr>
          <w:rFonts w:ascii="Times New Roman" w:hAnsi="Times New Roman" w:cs="Times New Roman"/>
          <w:sz w:val="24"/>
          <w:szCs w:val="24"/>
        </w:rPr>
        <w:noBreakHyphen/>
      </w:r>
      <w:r w:rsidRPr="000636CE">
        <w:rPr>
          <w:rFonts w:ascii="Times New Roman" w:hAnsi="Times New Roman" w:cs="Times New Roman"/>
          <w:b/>
          <w:bCs/>
          <w:sz w:val="24"/>
          <w:szCs w:val="24"/>
        </w:rPr>
        <w:t>497/20</w:t>
      </w:r>
      <w:r>
        <w:rPr>
          <w:rFonts w:ascii="Times New Roman" w:hAnsi="Times New Roman" w:cs="Times New Roman"/>
          <w:sz w:val="24"/>
          <w:szCs w:val="24"/>
        </w:rPr>
        <w:t xml:space="preserve"> </w:t>
      </w:r>
      <w:proofErr w:type="spellStart"/>
      <w:r w:rsidRPr="000636CE">
        <w:rPr>
          <w:rFonts w:ascii="Times New Roman" w:hAnsi="Times New Roman" w:cs="Times New Roman"/>
          <w:b/>
          <w:bCs/>
          <w:sz w:val="24"/>
          <w:szCs w:val="24"/>
        </w:rPr>
        <w:t>Randstad</w:t>
      </w:r>
      <w:proofErr w:type="spellEnd"/>
      <w:r w:rsidRPr="000636CE">
        <w:rPr>
          <w:rFonts w:ascii="Times New Roman" w:hAnsi="Times New Roman" w:cs="Times New Roman"/>
          <w:b/>
          <w:bCs/>
          <w:sz w:val="24"/>
          <w:szCs w:val="24"/>
        </w:rPr>
        <w:t xml:space="preserve"> Italia </w:t>
      </w:r>
      <w:proofErr w:type="spellStart"/>
      <w:r w:rsidRPr="000636CE">
        <w:rPr>
          <w:rFonts w:ascii="Times New Roman" w:hAnsi="Times New Roman" w:cs="Times New Roman"/>
          <w:b/>
          <w:bCs/>
          <w:sz w:val="24"/>
          <w:szCs w:val="24"/>
        </w:rPr>
        <w:t>SpA</w:t>
      </w:r>
      <w:proofErr w:type="spellEnd"/>
      <w:r>
        <w:rPr>
          <w:rFonts w:ascii="Times New Roman" w:hAnsi="Times New Roman" w:cs="Times New Roman"/>
          <w:sz w:val="24"/>
          <w:szCs w:val="24"/>
        </w:rPr>
        <w:t xml:space="preserve"> </w:t>
      </w:r>
      <w:r w:rsidRPr="000636CE">
        <w:rPr>
          <w:rFonts w:ascii="Times New Roman" w:hAnsi="Times New Roman" w:cs="Times New Roman"/>
          <w:b/>
          <w:bCs/>
          <w:sz w:val="24"/>
          <w:szCs w:val="24"/>
        </w:rPr>
        <w:t>contro</w:t>
      </w:r>
      <w:r>
        <w:rPr>
          <w:rFonts w:ascii="Times New Roman" w:hAnsi="Times New Roman" w:cs="Times New Roman"/>
          <w:sz w:val="24"/>
          <w:szCs w:val="24"/>
        </w:rPr>
        <w:t xml:space="preserve"> </w:t>
      </w:r>
      <w:r w:rsidRPr="000636CE">
        <w:rPr>
          <w:rFonts w:ascii="Times New Roman" w:hAnsi="Times New Roman" w:cs="Times New Roman"/>
          <w:b/>
          <w:bCs/>
          <w:sz w:val="24"/>
          <w:szCs w:val="24"/>
        </w:rPr>
        <w:t xml:space="preserve">Umana </w:t>
      </w:r>
      <w:proofErr w:type="spellStart"/>
      <w:r w:rsidRPr="000636CE">
        <w:rPr>
          <w:rFonts w:ascii="Times New Roman" w:hAnsi="Times New Roman" w:cs="Times New Roman"/>
          <w:b/>
          <w:bCs/>
          <w:sz w:val="24"/>
          <w:szCs w:val="24"/>
        </w:rPr>
        <w:t>SpA</w:t>
      </w:r>
      <w:proofErr w:type="spellEnd"/>
      <w:r w:rsidRPr="000636CE">
        <w:rPr>
          <w:rFonts w:ascii="Times New Roman" w:hAnsi="Times New Roman" w:cs="Times New Roman"/>
          <w:b/>
          <w:bCs/>
          <w:sz w:val="24"/>
          <w:szCs w:val="24"/>
        </w:rPr>
        <w:t>,</w:t>
      </w:r>
      <w:r>
        <w:rPr>
          <w:rFonts w:ascii="Times New Roman" w:hAnsi="Times New Roman" w:cs="Times New Roman"/>
          <w:sz w:val="24"/>
          <w:szCs w:val="24"/>
        </w:rPr>
        <w:t xml:space="preserve"> </w:t>
      </w:r>
      <w:r w:rsidRPr="000636CE">
        <w:rPr>
          <w:rFonts w:ascii="Times New Roman" w:hAnsi="Times New Roman" w:cs="Times New Roman"/>
          <w:b/>
          <w:bCs/>
          <w:sz w:val="24"/>
          <w:szCs w:val="24"/>
        </w:rPr>
        <w:t>Azienda USL Valle d’Aosta,</w:t>
      </w:r>
    </w:p>
    <w:p w14:paraId="282FD86B" w14:textId="43D74D63" w:rsidR="000636CE" w:rsidRDefault="000636CE" w:rsidP="000636CE">
      <w:pPr>
        <w:tabs>
          <w:tab w:val="left" w:pos="2610"/>
        </w:tabs>
        <w:rPr>
          <w:rFonts w:ascii="Times New Roman" w:hAnsi="Times New Roman" w:cs="Times New Roman"/>
          <w:b/>
          <w:bCs/>
          <w:sz w:val="24"/>
          <w:szCs w:val="24"/>
        </w:rPr>
      </w:pPr>
      <w:r w:rsidRPr="000636CE">
        <w:rPr>
          <w:rFonts w:ascii="Times New Roman" w:hAnsi="Times New Roman" w:cs="Times New Roman"/>
          <w:b/>
          <w:bCs/>
          <w:sz w:val="24"/>
          <w:szCs w:val="24"/>
        </w:rPr>
        <w:t xml:space="preserve">IN. VA </w:t>
      </w:r>
      <w:proofErr w:type="spellStart"/>
      <w:r w:rsidRPr="000636CE">
        <w:rPr>
          <w:rFonts w:ascii="Times New Roman" w:hAnsi="Times New Roman" w:cs="Times New Roman"/>
          <w:b/>
          <w:bCs/>
          <w:sz w:val="24"/>
          <w:szCs w:val="24"/>
        </w:rPr>
        <w:t>SpA</w:t>
      </w:r>
      <w:proofErr w:type="spellEnd"/>
      <w:r w:rsidRPr="000636CE">
        <w:rPr>
          <w:rFonts w:ascii="Times New Roman" w:hAnsi="Times New Roman" w:cs="Times New Roman"/>
          <w:b/>
          <w:bCs/>
          <w:sz w:val="24"/>
          <w:szCs w:val="24"/>
        </w:rPr>
        <w:t>,</w:t>
      </w:r>
      <w:r>
        <w:rPr>
          <w:rFonts w:ascii="Times New Roman" w:hAnsi="Times New Roman" w:cs="Times New Roman"/>
          <w:sz w:val="24"/>
          <w:szCs w:val="24"/>
        </w:rPr>
        <w:t xml:space="preserve"> </w:t>
      </w:r>
      <w:r w:rsidRPr="000636CE">
        <w:rPr>
          <w:rFonts w:ascii="Times New Roman" w:hAnsi="Times New Roman" w:cs="Times New Roman"/>
          <w:b/>
          <w:bCs/>
          <w:sz w:val="24"/>
          <w:szCs w:val="24"/>
        </w:rPr>
        <w:t xml:space="preserve">Synergie Italia agenzia per il lavoro </w:t>
      </w:r>
      <w:proofErr w:type="spellStart"/>
      <w:r w:rsidRPr="000636CE">
        <w:rPr>
          <w:rFonts w:ascii="Times New Roman" w:hAnsi="Times New Roman" w:cs="Times New Roman"/>
          <w:b/>
          <w:bCs/>
          <w:sz w:val="24"/>
          <w:szCs w:val="24"/>
        </w:rPr>
        <w:t>SpA</w:t>
      </w:r>
      <w:proofErr w:type="spellEnd"/>
    </w:p>
    <w:p w14:paraId="1F5AEC79" w14:textId="77777777" w:rsidR="00A0281D" w:rsidRPr="00A0281D" w:rsidRDefault="00A0281D" w:rsidP="00A0281D">
      <w:pPr>
        <w:tabs>
          <w:tab w:val="left" w:pos="2610"/>
        </w:tabs>
        <w:rPr>
          <w:rFonts w:ascii="Times New Roman" w:hAnsi="Times New Roman" w:cs="Times New Roman"/>
          <w:sz w:val="24"/>
          <w:szCs w:val="24"/>
        </w:rPr>
      </w:pPr>
      <w:r w:rsidRPr="00A0281D">
        <w:rPr>
          <w:rFonts w:ascii="Times New Roman" w:hAnsi="Times New Roman" w:cs="Times New Roman"/>
          <w:sz w:val="24"/>
          <w:szCs w:val="24"/>
        </w:rPr>
        <w:t>propongo alla Corte di rispondere alle questioni poste dalla Corte suprema di cassazione (Italia) come segue:</w:t>
      </w:r>
    </w:p>
    <w:p w14:paraId="7E2E8E35" w14:textId="77777777" w:rsidR="00A0281D" w:rsidRPr="00A0281D" w:rsidRDefault="00A0281D" w:rsidP="00A0281D">
      <w:pPr>
        <w:tabs>
          <w:tab w:val="left" w:pos="2610"/>
        </w:tabs>
        <w:jc w:val="both"/>
        <w:rPr>
          <w:rFonts w:ascii="Times New Roman" w:hAnsi="Times New Roman" w:cs="Times New Roman"/>
          <w:sz w:val="24"/>
          <w:szCs w:val="24"/>
        </w:rPr>
      </w:pPr>
      <w:r w:rsidRPr="00A0281D">
        <w:rPr>
          <w:rFonts w:ascii="Times New Roman" w:hAnsi="Times New Roman" w:cs="Times New Roman"/>
          <w:sz w:val="24"/>
          <w:szCs w:val="24"/>
        </w:rPr>
        <w:t>1)      L’articolo 1, paragrafi 1 e 3, della direttiva 89/665/CEE del Consiglio, del 21 dicembre 1989, che coordina le disposizioni legislative, regolamentari e amministrative relative all’applicazione delle procedure di ricorso in materia di aggiudicazione degli appalti pubblici di forniture e di lavori, come modificata, in particolare, dalla direttiva 2007/66/CE del Parlamento europeo e del Consiglio, dell’11 dicembre 2007, letto alla luce dell’articolo 47 della Carta, deve essere interpretato nel senso che esso non osta a una norma quale l’articolo 111, ottavo comma, della Costituzione italiana, come interpretato nella sentenza n. 6/2018, secondo la quale un ricorso in cassazione per motivi di «difetto di potere giurisdizionale» non può essere utilizzato per impugnare sentenze di secondo grado che facciano applicazione di prassi interpretative elaborate in sede nazionale confliggenti con sentenze della Corte di giustizia, in settori disciplinati dal diritto dell’Unione europea.</w:t>
      </w:r>
    </w:p>
    <w:p w14:paraId="5B12868E" w14:textId="77777777" w:rsidR="00A0281D" w:rsidRPr="00A0281D" w:rsidRDefault="00A0281D" w:rsidP="00A0281D">
      <w:pPr>
        <w:tabs>
          <w:tab w:val="left" w:pos="2610"/>
        </w:tabs>
        <w:jc w:val="both"/>
        <w:rPr>
          <w:rFonts w:ascii="Times New Roman" w:hAnsi="Times New Roman" w:cs="Times New Roman"/>
          <w:sz w:val="24"/>
          <w:szCs w:val="24"/>
        </w:rPr>
      </w:pPr>
      <w:r w:rsidRPr="00A0281D">
        <w:rPr>
          <w:rFonts w:ascii="Times New Roman" w:hAnsi="Times New Roman" w:cs="Times New Roman"/>
          <w:sz w:val="24"/>
          <w:szCs w:val="24"/>
        </w:rPr>
        <w:t>La soluzione relativamente all’applicazione erronea del diritto dell’Unione da parte di un giudice di </w:t>
      </w:r>
      <w:bookmarkStart w:id="17" w:name="ctx112"/>
      <w:r w:rsidRPr="00A0281D">
        <w:rPr>
          <w:rFonts w:ascii="Times New Roman" w:hAnsi="Times New Roman" w:cs="Times New Roman"/>
          <w:b/>
          <w:bCs/>
          <w:sz w:val="24"/>
          <w:szCs w:val="24"/>
        </w:rPr>
        <w:t>ultima</w:t>
      </w:r>
      <w:bookmarkEnd w:id="17"/>
      <w:r w:rsidRPr="00A0281D">
        <w:rPr>
          <w:rFonts w:ascii="Times New Roman" w:hAnsi="Times New Roman" w:cs="Times New Roman"/>
          <w:sz w:val="24"/>
          <w:szCs w:val="24"/>
        </w:rPr>
        <w:t> </w:t>
      </w:r>
      <w:bookmarkStart w:id="18" w:name="ctx113"/>
      <w:r w:rsidRPr="00A0281D">
        <w:rPr>
          <w:rFonts w:ascii="Times New Roman" w:hAnsi="Times New Roman" w:cs="Times New Roman"/>
          <w:b/>
          <w:bCs/>
          <w:sz w:val="24"/>
          <w:szCs w:val="24"/>
        </w:rPr>
        <w:t>istanza</w:t>
      </w:r>
      <w:bookmarkEnd w:id="18"/>
      <w:r w:rsidRPr="00A0281D">
        <w:rPr>
          <w:rFonts w:ascii="Times New Roman" w:hAnsi="Times New Roman" w:cs="Times New Roman"/>
          <w:sz w:val="24"/>
          <w:szCs w:val="24"/>
        </w:rPr>
        <w:t> deve essere trovata in altre forme procedurali, quali un ricorso per inadempimento ai sensi dell’articolo 258 TFUE o la facoltà di far valere la </w:t>
      </w:r>
      <w:bookmarkStart w:id="19" w:name="ctx114"/>
      <w:r w:rsidRPr="00A0281D">
        <w:rPr>
          <w:rFonts w:ascii="Times New Roman" w:hAnsi="Times New Roman" w:cs="Times New Roman"/>
          <w:b/>
          <w:bCs/>
          <w:sz w:val="24"/>
          <w:szCs w:val="24"/>
        </w:rPr>
        <w:t>responsabilità</w:t>
      </w:r>
      <w:bookmarkEnd w:id="19"/>
      <w:r w:rsidRPr="00A0281D">
        <w:rPr>
          <w:rFonts w:ascii="Times New Roman" w:hAnsi="Times New Roman" w:cs="Times New Roman"/>
          <w:sz w:val="24"/>
          <w:szCs w:val="24"/>
        </w:rPr>
        <w:t> dello </w:t>
      </w:r>
      <w:bookmarkStart w:id="20" w:name="ctx115"/>
      <w:r w:rsidRPr="00A0281D">
        <w:rPr>
          <w:rFonts w:ascii="Times New Roman" w:hAnsi="Times New Roman" w:cs="Times New Roman"/>
          <w:b/>
          <w:bCs/>
          <w:sz w:val="24"/>
          <w:szCs w:val="24"/>
        </w:rPr>
        <w:t>Stato</w:t>
      </w:r>
      <w:bookmarkEnd w:id="20"/>
      <w:r w:rsidRPr="00A0281D">
        <w:rPr>
          <w:rFonts w:ascii="Times New Roman" w:hAnsi="Times New Roman" w:cs="Times New Roman"/>
          <w:sz w:val="24"/>
          <w:szCs w:val="24"/>
        </w:rPr>
        <w:t> al fine di ottenere tutela giurisdizionale dei diritti dei singoli riconosciuti dal diritto dell’Unione.</w:t>
      </w:r>
    </w:p>
    <w:p w14:paraId="70C0E6CD" w14:textId="77777777" w:rsidR="00A0281D" w:rsidRPr="00A0281D" w:rsidRDefault="00A0281D" w:rsidP="00A0281D">
      <w:pPr>
        <w:tabs>
          <w:tab w:val="left" w:pos="2610"/>
        </w:tabs>
        <w:rPr>
          <w:rFonts w:ascii="Times New Roman" w:hAnsi="Times New Roman" w:cs="Times New Roman"/>
          <w:sz w:val="24"/>
          <w:szCs w:val="24"/>
        </w:rPr>
      </w:pPr>
      <w:r w:rsidRPr="00A0281D">
        <w:rPr>
          <w:rFonts w:ascii="Times New Roman" w:hAnsi="Times New Roman" w:cs="Times New Roman"/>
          <w:sz w:val="24"/>
          <w:szCs w:val="24"/>
        </w:rPr>
        <w:t xml:space="preserve">2)      L’articolo 4, paragrafo 3, TUE, l’articolo 19, paragrafo 1, TUE, nonché l’articolo 267 TFUE, letti alla luce dell’articolo 47 della Carta, non ostano a che le norme relative al ricorso per </w:t>
      </w:r>
      <w:r w:rsidRPr="00A0281D">
        <w:rPr>
          <w:rFonts w:ascii="Times New Roman" w:hAnsi="Times New Roman" w:cs="Times New Roman"/>
          <w:sz w:val="24"/>
          <w:szCs w:val="24"/>
        </w:rPr>
        <w:lastRenderedPageBreak/>
        <w:t>cassazione per motivi inerenti alla giurisdizione siano interpretate ed applicate nel senso di precludere che dinanzi alle Sezioni Unite della Corte di cassazione sia proposto un ricorso per cassazione finalizzato a impugnare una sentenza con la quale il Consiglio di </w:t>
      </w:r>
      <w:bookmarkStart w:id="21" w:name="ctx116"/>
      <w:r w:rsidRPr="00A0281D">
        <w:rPr>
          <w:rFonts w:ascii="Times New Roman" w:hAnsi="Times New Roman" w:cs="Times New Roman"/>
          <w:b/>
          <w:bCs/>
          <w:sz w:val="24"/>
          <w:szCs w:val="24"/>
        </w:rPr>
        <w:t>Stato</w:t>
      </w:r>
      <w:bookmarkEnd w:id="21"/>
      <w:r w:rsidRPr="00A0281D">
        <w:rPr>
          <w:rFonts w:ascii="Times New Roman" w:hAnsi="Times New Roman" w:cs="Times New Roman"/>
          <w:sz w:val="24"/>
          <w:szCs w:val="24"/>
        </w:rPr>
        <w:t> ometta, immotivatamente, di effettuare un rinvio pregiudiziale alla Corte.</w:t>
      </w:r>
    </w:p>
    <w:p w14:paraId="336331EC" w14:textId="77777777" w:rsidR="00A0281D" w:rsidRPr="00A0281D" w:rsidRDefault="00A0281D" w:rsidP="00A0281D">
      <w:pPr>
        <w:tabs>
          <w:tab w:val="left" w:pos="2610"/>
        </w:tabs>
        <w:rPr>
          <w:rFonts w:ascii="Times New Roman" w:hAnsi="Times New Roman" w:cs="Times New Roman"/>
          <w:sz w:val="24"/>
          <w:szCs w:val="24"/>
        </w:rPr>
      </w:pPr>
      <w:r w:rsidRPr="00A0281D">
        <w:rPr>
          <w:rFonts w:ascii="Times New Roman" w:hAnsi="Times New Roman" w:cs="Times New Roman"/>
          <w:b/>
          <w:bCs/>
          <w:sz w:val="24"/>
          <w:szCs w:val="24"/>
        </w:rPr>
        <w:t>In subordine</w:t>
      </w:r>
      <w:r w:rsidRPr="00A0281D">
        <w:rPr>
          <w:rFonts w:ascii="Times New Roman" w:hAnsi="Times New Roman" w:cs="Times New Roman"/>
          <w:sz w:val="24"/>
          <w:szCs w:val="24"/>
        </w:rPr>
        <w:t>:</w:t>
      </w:r>
    </w:p>
    <w:p w14:paraId="7F7EF07D" w14:textId="77777777" w:rsidR="00A0281D" w:rsidRPr="00A0281D" w:rsidRDefault="00A0281D" w:rsidP="00A0281D">
      <w:pPr>
        <w:tabs>
          <w:tab w:val="left" w:pos="2610"/>
        </w:tabs>
        <w:jc w:val="both"/>
        <w:rPr>
          <w:rFonts w:ascii="Times New Roman" w:hAnsi="Times New Roman" w:cs="Times New Roman"/>
          <w:sz w:val="24"/>
          <w:szCs w:val="24"/>
        </w:rPr>
      </w:pPr>
      <w:r w:rsidRPr="00A0281D">
        <w:rPr>
          <w:rFonts w:ascii="Times New Roman" w:hAnsi="Times New Roman" w:cs="Times New Roman"/>
          <w:sz w:val="24"/>
          <w:szCs w:val="24"/>
        </w:rPr>
        <w:t>3)      L’interpretazione dell’articolo 1, paragrafi 1 e 3, e dell’articolo 2, paragrafo 1, della direttiva 89/665, come modificata dalla direttiva 2007/66, che deriva dalle sentenze della Corte del 4 luglio 2013, Fastweb (C</w:t>
      </w:r>
      <w:r w:rsidRPr="00A0281D">
        <w:rPr>
          <w:rFonts w:ascii="Times New Roman" w:hAnsi="Times New Roman" w:cs="Times New Roman"/>
          <w:sz w:val="24"/>
          <w:szCs w:val="24"/>
        </w:rPr>
        <w:noBreakHyphen/>
        <w:t>100/12, EU:C:2013:448), del 5 aprile 2016, PFE (C</w:t>
      </w:r>
      <w:r w:rsidRPr="00A0281D">
        <w:rPr>
          <w:rFonts w:ascii="Times New Roman" w:hAnsi="Times New Roman" w:cs="Times New Roman"/>
          <w:sz w:val="24"/>
          <w:szCs w:val="24"/>
        </w:rPr>
        <w:noBreakHyphen/>
        <w:t>689/13, EU:C:2016:199), e del 5 settembre 2019, Lombardi (C</w:t>
      </w:r>
      <w:r w:rsidRPr="00A0281D">
        <w:rPr>
          <w:rFonts w:ascii="Times New Roman" w:hAnsi="Times New Roman" w:cs="Times New Roman"/>
          <w:sz w:val="24"/>
          <w:szCs w:val="24"/>
        </w:rPr>
        <w:noBreakHyphen/>
        <w:t>333/18, EU:C:2019:675), è applicabile nella fattispecie che è oggetto del procedimento principale, in cui la decisione di esclusione dell’offerente non aggiudicatario non è stata confermata da una decisione che ha acquistato forza di giudicato prima che il giudice investito del ricorso contro la decisione di affidamento dell’appalto si sia pronunciato, e in cui detto offerente ha presentato un motivo che potrebbe indurre l’amministrazione aggiudicatrice a dover avviare una nuova procedura.</w:t>
      </w:r>
    </w:p>
    <w:p w14:paraId="35C0AF66" w14:textId="77777777" w:rsidR="000636CE" w:rsidRPr="000636CE" w:rsidRDefault="000636CE" w:rsidP="000636CE">
      <w:pPr>
        <w:tabs>
          <w:tab w:val="left" w:pos="2610"/>
        </w:tabs>
        <w:rPr>
          <w:rFonts w:ascii="Times New Roman" w:hAnsi="Times New Roman" w:cs="Times New Roman"/>
          <w:sz w:val="24"/>
          <w:szCs w:val="24"/>
        </w:rPr>
      </w:pPr>
    </w:p>
    <w:p w14:paraId="1CCF90F7" w14:textId="77777777" w:rsidR="00D1776A" w:rsidRPr="00AB0980" w:rsidRDefault="00D1776A" w:rsidP="00AB0980">
      <w:pPr>
        <w:tabs>
          <w:tab w:val="left" w:pos="2610"/>
        </w:tabs>
        <w:rPr>
          <w:rFonts w:ascii="Times New Roman" w:hAnsi="Times New Roman" w:cs="Times New Roman"/>
          <w:sz w:val="24"/>
          <w:szCs w:val="24"/>
        </w:rPr>
      </w:pPr>
    </w:p>
    <w:sectPr w:rsidR="00D1776A" w:rsidRPr="00AB0980">
      <w:footerReference w:type="default" r:id="rId2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2626B" w14:textId="77777777" w:rsidR="00E5738A" w:rsidRDefault="00E5738A" w:rsidP="00D1776A">
      <w:pPr>
        <w:spacing w:after="0" w:line="240" w:lineRule="auto"/>
      </w:pPr>
      <w:r>
        <w:separator/>
      </w:r>
    </w:p>
  </w:endnote>
  <w:endnote w:type="continuationSeparator" w:id="0">
    <w:p w14:paraId="51E4E7AB" w14:textId="77777777" w:rsidR="00E5738A" w:rsidRDefault="00E5738A" w:rsidP="00D1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6262181"/>
      <w:docPartObj>
        <w:docPartGallery w:val="Page Numbers (Bottom of Page)"/>
        <w:docPartUnique/>
      </w:docPartObj>
    </w:sdtPr>
    <w:sdtEndPr/>
    <w:sdtContent>
      <w:p w14:paraId="0B4ACF96" w14:textId="77777777" w:rsidR="00D1776A" w:rsidRDefault="00D1776A">
        <w:pPr>
          <w:pStyle w:val="Pidipagina"/>
          <w:jc w:val="right"/>
        </w:pPr>
        <w:r>
          <w:fldChar w:fldCharType="begin"/>
        </w:r>
        <w:r>
          <w:instrText>PAGE   \* MERGEFORMAT</w:instrText>
        </w:r>
        <w:r>
          <w:fldChar w:fldCharType="separate"/>
        </w:r>
        <w:r>
          <w:t>2</w:t>
        </w:r>
        <w:r>
          <w:fldChar w:fldCharType="end"/>
        </w:r>
      </w:p>
    </w:sdtContent>
  </w:sdt>
  <w:p w14:paraId="500A5E6B" w14:textId="77777777" w:rsidR="00D1776A" w:rsidRDefault="00D1776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57F4C" w14:textId="77777777" w:rsidR="00E5738A" w:rsidRDefault="00E5738A" w:rsidP="00D1776A">
      <w:pPr>
        <w:spacing w:after="0" w:line="240" w:lineRule="auto"/>
      </w:pPr>
      <w:r>
        <w:separator/>
      </w:r>
    </w:p>
  </w:footnote>
  <w:footnote w:type="continuationSeparator" w:id="0">
    <w:p w14:paraId="2F10256F" w14:textId="77777777" w:rsidR="00E5738A" w:rsidRDefault="00E5738A" w:rsidP="00D177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15000"/>
    <w:multiLevelType w:val="multilevel"/>
    <w:tmpl w:val="CB8C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752895"/>
    <w:multiLevelType w:val="hybridMultilevel"/>
    <w:tmpl w:val="256059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66C"/>
    <w:rsid w:val="00020002"/>
    <w:rsid w:val="00030C23"/>
    <w:rsid w:val="000636CE"/>
    <w:rsid w:val="000E102F"/>
    <w:rsid w:val="001A5D3E"/>
    <w:rsid w:val="001D2B28"/>
    <w:rsid w:val="001E27D9"/>
    <w:rsid w:val="00242654"/>
    <w:rsid w:val="002A7232"/>
    <w:rsid w:val="00306C6C"/>
    <w:rsid w:val="00337FE6"/>
    <w:rsid w:val="005044FA"/>
    <w:rsid w:val="00597A81"/>
    <w:rsid w:val="00612B40"/>
    <w:rsid w:val="007D2EA7"/>
    <w:rsid w:val="008F666C"/>
    <w:rsid w:val="00A0281D"/>
    <w:rsid w:val="00AB0980"/>
    <w:rsid w:val="00BE6816"/>
    <w:rsid w:val="00CE47F8"/>
    <w:rsid w:val="00D1776A"/>
    <w:rsid w:val="00DD1378"/>
    <w:rsid w:val="00E34A62"/>
    <w:rsid w:val="00E5738A"/>
    <w:rsid w:val="00EA10FD"/>
    <w:rsid w:val="00EF36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4A69F"/>
  <w15:chartTrackingRefBased/>
  <w15:docId w15:val="{0573FF38-82F6-4498-8A5C-404024B7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20002"/>
    <w:pPr>
      <w:ind w:left="720"/>
      <w:contextualSpacing/>
    </w:pPr>
  </w:style>
  <w:style w:type="character" w:styleId="Collegamentoipertestuale">
    <w:name w:val="Hyperlink"/>
    <w:basedOn w:val="Carpredefinitoparagrafo"/>
    <w:uiPriority w:val="99"/>
    <w:unhideWhenUsed/>
    <w:rsid w:val="00337FE6"/>
    <w:rPr>
      <w:color w:val="0563C1" w:themeColor="hyperlink"/>
      <w:u w:val="single"/>
    </w:rPr>
  </w:style>
  <w:style w:type="character" w:styleId="Menzionenonrisolta">
    <w:name w:val="Unresolved Mention"/>
    <w:basedOn w:val="Carpredefinitoparagrafo"/>
    <w:uiPriority w:val="99"/>
    <w:semiHidden/>
    <w:unhideWhenUsed/>
    <w:rsid w:val="00337FE6"/>
    <w:rPr>
      <w:color w:val="605E5C"/>
      <w:shd w:val="clear" w:color="auto" w:fill="E1DFDD"/>
    </w:rPr>
  </w:style>
  <w:style w:type="paragraph" w:styleId="Intestazione">
    <w:name w:val="header"/>
    <w:basedOn w:val="Normale"/>
    <w:link w:val="IntestazioneCarattere"/>
    <w:uiPriority w:val="99"/>
    <w:unhideWhenUsed/>
    <w:rsid w:val="00D1776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1776A"/>
  </w:style>
  <w:style w:type="paragraph" w:styleId="Pidipagina">
    <w:name w:val="footer"/>
    <w:basedOn w:val="Normale"/>
    <w:link w:val="PidipaginaCarattere"/>
    <w:uiPriority w:val="99"/>
    <w:unhideWhenUsed/>
    <w:rsid w:val="00D1776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776A"/>
  </w:style>
  <w:style w:type="paragraph" w:styleId="Testofumetto">
    <w:name w:val="Balloon Text"/>
    <w:basedOn w:val="Normale"/>
    <w:link w:val="TestofumettoCarattere"/>
    <w:uiPriority w:val="99"/>
    <w:semiHidden/>
    <w:unhideWhenUsed/>
    <w:rsid w:val="00D1776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17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219821">
      <w:bodyDiv w:val="1"/>
      <w:marLeft w:val="0"/>
      <w:marRight w:val="0"/>
      <w:marTop w:val="0"/>
      <w:marBottom w:val="0"/>
      <w:divBdr>
        <w:top w:val="none" w:sz="0" w:space="0" w:color="auto"/>
        <w:left w:val="none" w:sz="0" w:space="0" w:color="auto"/>
        <w:bottom w:val="none" w:sz="0" w:space="0" w:color="auto"/>
        <w:right w:val="none" w:sz="0" w:space="0" w:color="auto"/>
      </w:divBdr>
    </w:div>
    <w:div w:id="970786903">
      <w:bodyDiv w:val="1"/>
      <w:marLeft w:val="0"/>
      <w:marRight w:val="0"/>
      <w:marTop w:val="0"/>
      <w:marBottom w:val="0"/>
      <w:divBdr>
        <w:top w:val="none" w:sz="0" w:space="0" w:color="auto"/>
        <w:left w:val="none" w:sz="0" w:space="0" w:color="auto"/>
        <w:bottom w:val="none" w:sz="0" w:space="0" w:color="auto"/>
        <w:right w:val="none" w:sz="0" w:space="0" w:color="auto"/>
      </w:divBdr>
    </w:div>
    <w:div w:id="1163156809">
      <w:bodyDiv w:val="1"/>
      <w:marLeft w:val="0"/>
      <w:marRight w:val="0"/>
      <w:marTop w:val="0"/>
      <w:marBottom w:val="0"/>
      <w:divBdr>
        <w:top w:val="none" w:sz="0" w:space="0" w:color="auto"/>
        <w:left w:val="none" w:sz="0" w:space="0" w:color="auto"/>
        <w:bottom w:val="none" w:sz="0" w:space="0" w:color="auto"/>
        <w:right w:val="none" w:sz="0" w:space="0" w:color="auto"/>
      </w:divBdr>
    </w:div>
    <w:div w:id="1303341561">
      <w:bodyDiv w:val="1"/>
      <w:marLeft w:val="0"/>
      <w:marRight w:val="0"/>
      <w:marTop w:val="0"/>
      <w:marBottom w:val="0"/>
      <w:divBdr>
        <w:top w:val="none" w:sz="0" w:space="0" w:color="auto"/>
        <w:left w:val="none" w:sz="0" w:space="0" w:color="auto"/>
        <w:bottom w:val="none" w:sz="0" w:space="0" w:color="auto"/>
        <w:right w:val="none" w:sz="0" w:space="0" w:color="auto"/>
      </w:divBdr>
    </w:div>
    <w:div w:id="1424955624">
      <w:bodyDiv w:val="1"/>
      <w:marLeft w:val="0"/>
      <w:marRight w:val="0"/>
      <w:marTop w:val="0"/>
      <w:marBottom w:val="0"/>
      <w:divBdr>
        <w:top w:val="none" w:sz="0" w:space="0" w:color="auto"/>
        <w:left w:val="none" w:sz="0" w:space="0" w:color="auto"/>
        <w:bottom w:val="none" w:sz="0" w:space="0" w:color="auto"/>
        <w:right w:val="none" w:sz="0" w:space="0" w:color="auto"/>
      </w:divBdr>
    </w:div>
    <w:div w:id="1437024423">
      <w:bodyDiv w:val="1"/>
      <w:marLeft w:val="0"/>
      <w:marRight w:val="0"/>
      <w:marTop w:val="0"/>
      <w:marBottom w:val="0"/>
      <w:divBdr>
        <w:top w:val="none" w:sz="0" w:space="0" w:color="auto"/>
        <w:left w:val="none" w:sz="0" w:space="0" w:color="auto"/>
        <w:bottom w:val="none" w:sz="0" w:space="0" w:color="auto"/>
        <w:right w:val="none" w:sz="0" w:space="0" w:color="auto"/>
      </w:divBdr>
    </w:div>
    <w:div w:id="1443308396">
      <w:bodyDiv w:val="1"/>
      <w:marLeft w:val="0"/>
      <w:marRight w:val="0"/>
      <w:marTop w:val="0"/>
      <w:marBottom w:val="0"/>
      <w:divBdr>
        <w:top w:val="none" w:sz="0" w:space="0" w:color="auto"/>
        <w:left w:val="none" w:sz="0" w:space="0" w:color="auto"/>
        <w:bottom w:val="none" w:sz="0" w:space="0" w:color="auto"/>
        <w:right w:val="none" w:sz="0" w:space="0" w:color="auto"/>
      </w:divBdr>
    </w:div>
    <w:div w:id="1807770259">
      <w:bodyDiv w:val="1"/>
      <w:marLeft w:val="0"/>
      <w:marRight w:val="0"/>
      <w:marTop w:val="0"/>
      <w:marBottom w:val="0"/>
      <w:divBdr>
        <w:top w:val="none" w:sz="0" w:space="0" w:color="auto"/>
        <w:left w:val="none" w:sz="0" w:space="0" w:color="auto"/>
        <w:bottom w:val="none" w:sz="0" w:space="0" w:color="auto"/>
        <w:right w:val="none" w:sz="0" w:space="0" w:color="auto"/>
      </w:divBdr>
    </w:div>
    <w:div w:id="186439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Unione_europea" TargetMode="External"/><Relationship Id="rId13" Type="http://schemas.openxmlformats.org/officeDocument/2006/relationships/hyperlink" Target="https://it.wikipedia.org/w/index.php?title=Regolamento_4/2009&amp;action=edit&amp;redlink=1" TargetMode="External"/><Relationship Id="rId18" Type="http://schemas.openxmlformats.org/officeDocument/2006/relationships/image" Target="media/image1.e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it.wikipedia.org/wiki/1995" TargetMode="External"/><Relationship Id="rId12" Type="http://schemas.openxmlformats.org/officeDocument/2006/relationships/hyperlink" Target="https://it.wikipedia.org/wiki/Regolamento_Roma_2" TargetMode="External"/><Relationship Id="rId17" Type="http://schemas.openxmlformats.org/officeDocument/2006/relationships/hyperlink" Target="https://it.wikipedia.org/w/index.php?title=Regolamento_2016/1104&amp;action=edit&amp;redlink=1" TargetMode="External"/><Relationship Id="rId2" Type="http://schemas.openxmlformats.org/officeDocument/2006/relationships/styles" Target="styles.xml"/><Relationship Id="rId16" Type="http://schemas.openxmlformats.org/officeDocument/2006/relationships/hyperlink" Target="https://it.wikipedia.org/w/index.php?title=Regolamento_2016/1103&amp;action=edit&amp;redlink=1" TargetMode="External"/><Relationship Id="rId20"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wikipedia.org/wiki/Regolamento_Roma_1" TargetMode="External"/><Relationship Id="rId5" Type="http://schemas.openxmlformats.org/officeDocument/2006/relationships/footnotes" Target="footnotes.xml"/><Relationship Id="rId15" Type="http://schemas.openxmlformats.org/officeDocument/2006/relationships/hyperlink" Target="https://it.wikipedia.org/w/index.php?title=Regolamento_650/2012&amp;action=edit&amp;redlink=1" TargetMode="External"/><Relationship Id="rId23" Type="http://schemas.openxmlformats.org/officeDocument/2006/relationships/theme" Target="theme/theme1.xml"/><Relationship Id="rId10" Type="http://schemas.openxmlformats.org/officeDocument/2006/relationships/hyperlink" Target="https://it.wikipedia.org/w/index.php?title=Regolamento_Bruxelles_2_bis&amp;action=edit&amp;redlink=1" TargetMode="External"/><Relationship Id="rId19"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it.wikipedia.org/w/index.php?title=Regolamento_Bruxelles_1&amp;action=edit&amp;redlink=1" TargetMode="External"/><Relationship Id="rId14" Type="http://schemas.openxmlformats.org/officeDocument/2006/relationships/hyperlink" Target="https://it.wikipedia.org/w/index.php?title=Regolamento_1259/2010,_c.d._Roma_3&amp;action=edit&amp;redlink=1"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3731</Words>
  <Characters>21270</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PIVA</dc:creator>
  <cp:keywords/>
  <dc:description/>
  <cp:lastModifiedBy>Piva Paolo</cp:lastModifiedBy>
  <cp:revision>2</cp:revision>
  <cp:lastPrinted>2019-07-01T08:40:00Z</cp:lastPrinted>
  <dcterms:created xsi:type="dcterms:W3CDTF">2021-09-24T09:43:00Z</dcterms:created>
  <dcterms:modified xsi:type="dcterms:W3CDTF">2021-09-24T09:43:00Z</dcterms:modified>
</cp:coreProperties>
</file>