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95E8" w14:textId="6082FF4D" w:rsidR="00D9242B" w:rsidRDefault="00D9242B" w:rsidP="00D9242B">
      <w:pPr>
        <w:pStyle w:val="Nessunaspaziatura"/>
        <w:ind w:left="1416" w:firstLine="708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noProof/>
          <w:sz w:val="26"/>
          <w:szCs w:val="26"/>
        </w:rPr>
        <w:drawing>
          <wp:inline distT="0" distB="0" distL="0" distR="0" wp14:anchorId="681D9179" wp14:editId="0204B381">
            <wp:extent cx="2011680" cy="952500"/>
            <wp:effectExtent l="0" t="0" r="7620" b="0"/>
            <wp:docPr id="12182259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106" cy="956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FC775D" w14:textId="77777777" w:rsidR="00D9242B" w:rsidRDefault="00D9242B" w:rsidP="0017106E">
      <w:pPr>
        <w:pStyle w:val="Nessunaspaziatura"/>
        <w:jc w:val="both"/>
        <w:rPr>
          <w:rFonts w:ascii="Garamond" w:hAnsi="Garamond"/>
          <w:b/>
          <w:bCs/>
          <w:sz w:val="26"/>
          <w:szCs w:val="26"/>
        </w:rPr>
      </w:pPr>
    </w:p>
    <w:p w14:paraId="02665636" w14:textId="77777777" w:rsidR="00D9242B" w:rsidRDefault="00D9242B" w:rsidP="0017106E">
      <w:pPr>
        <w:pStyle w:val="Nessunaspaziatura"/>
        <w:jc w:val="both"/>
        <w:rPr>
          <w:rFonts w:ascii="Garamond" w:hAnsi="Garamond"/>
          <w:b/>
          <w:bCs/>
          <w:sz w:val="26"/>
          <w:szCs w:val="26"/>
        </w:rPr>
      </w:pPr>
    </w:p>
    <w:p w14:paraId="14A6C23A" w14:textId="6A6366A9" w:rsidR="0084420B" w:rsidRPr="0017106E" w:rsidRDefault="0017106E" w:rsidP="0017106E">
      <w:pPr>
        <w:pStyle w:val="Nessunaspaziatura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ACCESSO AGLI ATTI - </w:t>
      </w:r>
      <w:r w:rsidRPr="0017106E">
        <w:rPr>
          <w:rFonts w:ascii="Garamond" w:hAnsi="Garamond"/>
          <w:b/>
          <w:bCs/>
          <w:sz w:val="26"/>
          <w:szCs w:val="26"/>
        </w:rPr>
        <w:t>CASO 2</w:t>
      </w:r>
    </w:p>
    <w:p w14:paraId="646BDB73" w14:textId="77777777" w:rsidR="0017106E" w:rsidRPr="0017106E" w:rsidRDefault="0017106E" w:rsidP="0017106E">
      <w:pPr>
        <w:pStyle w:val="Nessunaspaziatura"/>
        <w:jc w:val="both"/>
        <w:rPr>
          <w:rFonts w:ascii="Garamond" w:hAnsi="Garamond"/>
          <w:sz w:val="26"/>
          <w:szCs w:val="26"/>
        </w:rPr>
      </w:pPr>
    </w:p>
    <w:p w14:paraId="448D0920" w14:textId="23F1D739" w:rsidR="0084420B" w:rsidRPr="0017106E" w:rsidRDefault="0084420B" w:rsidP="0017106E">
      <w:pPr>
        <w:pStyle w:val="Nessunaspaziatura"/>
        <w:jc w:val="both"/>
        <w:rPr>
          <w:rFonts w:ascii="Garamond" w:hAnsi="Garamond"/>
          <w:sz w:val="26"/>
          <w:szCs w:val="26"/>
        </w:rPr>
      </w:pPr>
      <w:r w:rsidRPr="0017106E">
        <w:rPr>
          <w:rFonts w:ascii="Garamond" w:hAnsi="Garamond"/>
          <w:sz w:val="26"/>
          <w:szCs w:val="26"/>
        </w:rPr>
        <w:t xml:space="preserve">La signora TIZIA, </w:t>
      </w:r>
      <w:r w:rsidR="00EF456B" w:rsidRPr="0017106E">
        <w:rPr>
          <w:rFonts w:ascii="Garamond" w:hAnsi="Garamond"/>
          <w:sz w:val="26"/>
          <w:szCs w:val="26"/>
        </w:rPr>
        <w:t>chiamata in causa dal coniuge CAIO per sentir dichiarare la separazione giudiziale</w:t>
      </w:r>
      <w:r w:rsidRPr="0017106E">
        <w:rPr>
          <w:rFonts w:ascii="Garamond" w:hAnsi="Garamond"/>
          <w:sz w:val="26"/>
          <w:szCs w:val="26"/>
        </w:rPr>
        <w:t xml:space="preserve"> ai sensi dell’art. 151 c</w:t>
      </w:r>
      <w:r w:rsidR="002511B4">
        <w:rPr>
          <w:rFonts w:ascii="Garamond" w:hAnsi="Garamond"/>
          <w:sz w:val="26"/>
          <w:szCs w:val="26"/>
        </w:rPr>
        <w:t>.c.</w:t>
      </w:r>
      <w:r w:rsidRPr="0017106E">
        <w:rPr>
          <w:rFonts w:ascii="Garamond" w:hAnsi="Garamond"/>
          <w:sz w:val="26"/>
          <w:szCs w:val="26"/>
        </w:rPr>
        <w:t>, formula</w:t>
      </w:r>
      <w:r w:rsidR="00EF456B" w:rsidRPr="0017106E">
        <w:rPr>
          <w:rFonts w:ascii="Garamond" w:hAnsi="Garamond"/>
          <w:sz w:val="26"/>
          <w:szCs w:val="26"/>
        </w:rPr>
        <w:t xml:space="preserve"> nel medesimo giudizio</w:t>
      </w:r>
      <w:r w:rsidRPr="0017106E">
        <w:rPr>
          <w:rFonts w:ascii="Garamond" w:hAnsi="Garamond"/>
          <w:sz w:val="26"/>
          <w:szCs w:val="26"/>
        </w:rPr>
        <w:t xml:space="preserve"> richiesta di addebito </w:t>
      </w:r>
      <w:r w:rsidR="004616FF">
        <w:rPr>
          <w:rFonts w:ascii="Garamond" w:hAnsi="Garamond"/>
          <w:sz w:val="26"/>
          <w:szCs w:val="26"/>
        </w:rPr>
        <w:t xml:space="preserve">a CAIO </w:t>
      </w:r>
      <w:r w:rsidR="00EF456B" w:rsidRPr="0017106E">
        <w:rPr>
          <w:rFonts w:ascii="Garamond" w:hAnsi="Garamond"/>
          <w:sz w:val="26"/>
          <w:szCs w:val="26"/>
        </w:rPr>
        <w:t xml:space="preserve">della separazione </w:t>
      </w:r>
      <w:r w:rsidR="00004667" w:rsidRPr="0017106E">
        <w:rPr>
          <w:rFonts w:ascii="Garamond" w:hAnsi="Garamond"/>
          <w:sz w:val="26"/>
          <w:szCs w:val="26"/>
        </w:rPr>
        <w:t xml:space="preserve">nonché </w:t>
      </w:r>
      <w:r w:rsidRPr="0017106E">
        <w:rPr>
          <w:rFonts w:ascii="Garamond" w:hAnsi="Garamond"/>
          <w:sz w:val="26"/>
          <w:szCs w:val="26"/>
        </w:rPr>
        <w:t xml:space="preserve">domanda di determinazione dell’assegno di mantenimento </w:t>
      </w:r>
      <w:r w:rsidR="00004667" w:rsidRPr="0017106E">
        <w:rPr>
          <w:rFonts w:ascii="Garamond" w:hAnsi="Garamond"/>
          <w:sz w:val="26"/>
          <w:szCs w:val="26"/>
        </w:rPr>
        <w:t>e</w:t>
      </w:r>
      <w:r w:rsidR="00EF456B" w:rsidRPr="0017106E">
        <w:rPr>
          <w:rFonts w:ascii="Garamond" w:hAnsi="Garamond"/>
          <w:sz w:val="26"/>
          <w:szCs w:val="26"/>
        </w:rPr>
        <w:t xml:space="preserve"> di </w:t>
      </w:r>
      <w:r w:rsidRPr="0017106E">
        <w:rPr>
          <w:rFonts w:ascii="Garamond" w:hAnsi="Garamond"/>
          <w:sz w:val="26"/>
          <w:szCs w:val="26"/>
        </w:rPr>
        <w:t>assegnazione della casa familiare</w:t>
      </w:r>
      <w:r w:rsidR="00EF456B" w:rsidRPr="0017106E">
        <w:rPr>
          <w:rFonts w:ascii="Garamond" w:hAnsi="Garamond"/>
          <w:sz w:val="26"/>
          <w:szCs w:val="26"/>
        </w:rPr>
        <w:t xml:space="preserve"> in proprio favore.</w:t>
      </w:r>
    </w:p>
    <w:p w14:paraId="25275B5B" w14:textId="34912AC2" w:rsidR="0084420B" w:rsidRPr="0017106E" w:rsidRDefault="00EF456B" w:rsidP="0017106E">
      <w:pPr>
        <w:pStyle w:val="Nessunaspaziatura"/>
        <w:jc w:val="both"/>
        <w:rPr>
          <w:rFonts w:ascii="Garamond" w:hAnsi="Garamond"/>
          <w:sz w:val="26"/>
          <w:szCs w:val="26"/>
        </w:rPr>
      </w:pPr>
      <w:r w:rsidRPr="0017106E">
        <w:rPr>
          <w:rFonts w:ascii="Garamond" w:hAnsi="Garamond"/>
          <w:sz w:val="26"/>
          <w:szCs w:val="26"/>
        </w:rPr>
        <w:t xml:space="preserve">In pendenza del giudizio, </w:t>
      </w:r>
      <w:r w:rsidR="002F11C2">
        <w:rPr>
          <w:rFonts w:ascii="Garamond" w:hAnsi="Garamond"/>
          <w:sz w:val="26"/>
          <w:szCs w:val="26"/>
        </w:rPr>
        <w:t xml:space="preserve">la signora </w:t>
      </w:r>
      <w:r w:rsidRPr="0017106E">
        <w:rPr>
          <w:rFonts w:ascii="Garamond" w:hAnsi="Garamond"/>
          <w:sz w:val="26"/>
          <w:szCs w:val="26"/>
        </w:rPr>
        <w:t xml:space="preserve">TIZIA </w:t>
      </w:r>
      <w:r w:rsidR="00004667" w:rsidRPr="0017106E">
        <w:rPr>
          <w:rFonts w:ascii="Garamond" w:hAnsi="Garamond"/>
          <w:sz w:val="26"/>
          <w:szCs w:val="26"/>
        </w:rPr>
        <w:t>presenta</w:t>
      </w:r>
      <w:r w:rsidRPr="0017106E">
        <w:rPr>
          <w:rFonts w:ascii="Garamond" w:hAnsi="Garamond"/>
          <w:sz w:val="26"/>
          <w:szCs w:val="26"/>
        </w:rPr>
        <w:t xml:space="preserve"> istanza di accesso agli atti all’Agenzia delle Entrate </w:t>
      </w:r>
      <w:r w:rsidR="00004667" w:rsidRPr="0017106E">
        <w:rPr>
          <w:rFonts w:ascii="Garamond" w:hAnsi="Garamond"/>
          <w:sz w:val="26"/>
          <w:szCs w:val="26"/>
        </w:rPr>
        <w:t>al fine di ottenere visione e copia dei seguenti atti e documenti, ritenuti necessari per avere contezza della situazione economica e patrimoniale del coniuge:</w:t>
      </w:r>
    </w:p>
    <w:p w14:paraId="5608B532" w14:textId="4E871C16" w:rsidR="0084420B" w:rsidRPr="0017106E" w:rsidRDefault="0084420B" w:rsidP="002F11C2">
      <w:pPr>
        <w:pStyle w:val="Nessunaspaziatura"/>
        <w:ind w:left="284" w:hanging="284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 w:rsidRPr="0017106E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1. </w:t>
      </w:r>
      <w:r w:rsidR="002F11C2">
        <w:rPr>
          <w:rFonts w:ascii="Garamond" w:eastAsia="Times New Roman" w:hAnsi="Garamond" w:cs="Times New Roman"/>
          <w:sz w:val="26"/>
          <w:szCs w:val="26"/>
          <w:lang w:eastAsia="it-IT"/>
        </w:rPr>
        <w:tab/>
      </w:r>
      <w:r w:rsidRPr="0017106E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dichiarazioni dei redditi degli ultimi tre anni d’imposta disponibili; </w:t>
      </w:r>
    </w:p>
    <w:p w14:paraId="271C1EC6" w14:textId="304D68D6" w:rsidR="0084420B" w:rsidRPr="0017106E" w:rsidRDefault="0084420B" w:rsidP="002F11C2">
      <w:pPr>
        <w:pStyle w:val="Nessunaspaziatura"/>
        <w:ind w:left="284" w:hanging="284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 w:rsidRPr="0017106E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2. </w:t>
      </w:r>
      <w:r w:rsidR="002F11C2">
        <w:rPr>
          <w:rFonts w:ascii="Garamond" w:eastAsia="Times New Roman" w:hAnsi="Garamond" w:cs="Times New Roman"/>
          <w:sz w:val="26"/>
          <w:szCs w:val="26"/>
          <w:lang w:eastAsia="it-IT"/>
        </w:rPr>
        <w:tab/>
      </w:r>
      <w:r w:rsidRPr="0017106E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contratti di locazione/comodato a terzi degli immobili in proprietà piena ed esclusiva e di quelli in comproprietà con i fratelli e altri parenti; </w:t>
      </w:r>
    </w:p>
    <w:p w14:paraId="7CD56313" w14:textId="24BBA25A" w:rsidR="0084420B" w:rsidRPr="0017106E" w:rsidRDefault="0084420B" w:rsidP="002F11C2">
      <w:pPr>
        <w:pStyle w:val="Nessunaspaziatura"/>
        <w:ind w:left="284" w:hanging="284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 w:rsidRPr="0017106E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3. </w:t>
      </w:r>
      <w:r w:rsidR="002F11C2">
        <w:rPr>
          <w:rFonts w:ascii="Garamond" w:eastAsia="Times New Roman" w:hAnsi="Garamond" w:cs="Times New Roman"/>
          <w:sz w:val="26"/>
          <w:szCs w:val="26"/>
          <w:lang w:eastAsia="it-IT"/>
        </w:rPr>
        <w:tab/>
      </w:r>
      <w:r w:rsidRPr="0017106E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comunicazioni inviate da tutti gli operatori finanziari all’anagrafe tributaria, sezione Archivio dei rapporti finanziari, relative ai rapporti continuativi, alle operazioni di natura finanziaria e ai rapporti di qualsiasi genere, anche in qualità di delegante o delegato; </w:t>
      </w:r>
    </w:p>
    <w:p w14:paraId="2146C53E" w14:textId="4D500A8C" w:rsidR="0084420B" w:rsidRPr="0017106E" w:rsidRDefault="0084420B" w:rsidP="002F11C2">
      <w:pPr>
        <w:pStyle w:val="Nessunaspaziatura"/>
        <w:ind w:left="284" w:hanging="284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 w:rsidRPr="0017106E"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4. </w:t>
      </w:r>
      <w:r w:rsidR="002F11C2">
        <w:rPr>
          <w:rFonts w:ascii="Garamond" w:eastAsia="Times New Roman" w:hAnsi="Garamond" w:cs="Times New Roman"/>
          <w:sz w:val="26"/>
          <w:szCs w:val="26"/>
          <w:lang w:eastAsia="it-IT"/>
        </w:rPr>
        <w:tab/>
      </w:r>
      <w:r w:rsidRPr="0017106E">
        <w:rPr>
          <w:rFonts w:ascii="Garamond" w:eastAsia="Times New Roman" w:hAnsi="Garamond" w:cs="Times New Roman"/>
          <w:sz w:val="26"/>
          <w:szCs w:val="26"/>
          <w:lang w:eastAsia="it-IT"/>
        </w:rPr>
        <w:t>visura dell’Anagrafe dei conti intrattenuti con banche e operatori finanziari: elenco e saldo dei rapporti di conto corrente e di conto di deposito.</w:t>
      </w:r>
    </w:p>
    <w:p w14:paraId="7D6934F8" w14:textId="55013723" w:rsidR="0084420B" w:rsidRPr="0017106E" w:rsidRDefault="00004667" w:rsidP="0017106E">
      <w:pPr>
        <w:pStyle w:val="Nessunaspaziatura"/>
        <w:jc w:val="both"/>
        <w:rPr>
          <w:rFonts w:ascii="Garamond" w:hAnsi="Garamond"/>
          <w:sz w:val="26"/>
          <w:szCs w:val="26"/>
        </w:rPr>
      </w:pPr>
      <w:r w:rsidRPr="0017106E">
        <w:rPr>
          <w:rFonts w:ascii="Garamond" w:hAnsi="Garamond"/>
          <w:sz w:val="26"/>
          <w:szCs w:val="26"/>
        </w:rPr>
        <w:t xml:space="preserve">L’Agenzia delle Entrate, dopo aver informato il </w:t>
      </w:r>
      <w:r w:rsidR="002F11C2">
        <w:rPr>
          <w:rFonts w:ascii="Garamond" w:hAnsi="Garamond"/>
          <w:sz w:val="26"/>
          <w:szCs w:val="26"/>
        </w:rPr>
        <w:t>signor</w:t>
      </w:r>
      <w:r w:rsidRPr="0017106E">
        <w:rPr>
          <w:rFonts w:ascii="Garamond" w:hAnsi="Garamond"/>
          <w:sz w:val="26"/>
          <w:szCs w:val="26"/>
        </w:rPr>
        <w:t xml:space="preserve"> CAIO </w:t>
      </w:r>
      <w:r w:rsidR="00A12DC1" w:rsidRPr="0017106E">
        <w:rPr>
          <w:rFonts w:ascii="Garamond" w:hAnsi="Garamond"/>
          <w:sz w:val="26"/>
          <w:szCs w:val="26"/>
        </w:rPr>
        <w:t>(in quanto controinteressato)</w:t>
      </w:r>
      <w:r w:rsidRPr="0017106E">
        <w:rPr>
          <w:rFonts w:ascii="Garamond" w:hAnsi="Garamond"/>
          <w:sz w:val="26"/>
          <w:szCs w:val="26"/>
        </w:rPr>
        <w:t xml:space="preserve"> e aver ricevuto dallo stesso una dichiarazione di opposizione</w:t>
      </w:r>
      <w:r w:rsidR="00A12DC1" w:rsidRPr="0017106E">
        <w:rPr>
          <w:rFonts w:ascii="Garamond" w:hAnsi="Garamond"/>
          <w:sz w:val="26"/>
          <w:szCs w:val="26"/>
        </w:rPr>
        <w:t xml:space="preserve">, </w:t>
      </w:r>
      <w:r w:rsidRPr="0017106E">
        <w:rPr>
          <w:rFonts w:ascii="Garamond" w:hAnsi="Garamond"/>
          <w:sz w:val="26"/>
          <w:szCs w:val="26"/>
        </w:rPr>
        <w:t>respinge l’is</w:t>
      </w:r>
      <w:r w:rsidR="00A12DC1" w:rsidRPr="0017106E">
        <w:rPr>
          <w:rFonts w:ascii="Garamond" w:hAnsi="Garamond"/>
          <w:sz w:val="26"/>
          <w:szCs w:val="26"/>
        </w:rPr>
        <w:t>tanza di accesso della signora TIZIA adducendo che:</w:t>
      </w:r>
    </w:p>
    <w:p w14:paraId="4BD41BD0" w14:textId="13495F9B" w:rsidR="00A12DC1" w:rsidRDefault="00A12DC1" w:rsidP="002F11C2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Garamond" w:hAnsi="Garamond"/>
          <w:sz w:val="26"/>
          <w:szCs w:val="26"/>
        </w:rPr>
      </w:pPr>
      <w:r w:rsidRPr="0017106E">
        <w:rPr>
          <w:rFonts w:ascii="Garamond" w:hAnsi="Garamond"/>
          <w:sz w:val="26"/>
          <w:szCs w:val="26"/>
        </w:rPr>
        <w:t xml:space="preserve">il controinteressato </w:t>
      </w:r>
      <w:r w:rsidR="00D41F6F" w:rsidRPr="0017106E">
        <w:rPr>
          <w:rFonts w:ascii="Garamond" w:hAnsi="Garamond"/>
          <w:sz w:val="26"/>
          <w:szCs w:val="26"/>
        </w:rPr>
        <w:t>h</w:t>
      </w:r>
      <w:r w:rsidRPr="0017106E">
        <w:rPr>
          <w:rFonts w:ascii="Garamond" w:hAnsi="Garamond"/>
          <w:sz w:val="26"/>
          <w:szCs w:val="26"/>
        </w:rPr>
        <w:t>a opposto diniego invocando la tutela della riservatezza;</w:t>
      </w:r>
    </w:p>
    <w:p w14:paraId="00E58B03" w14:textId="608EDA03" w:rsidR="00C026FB" w:rsidRPr="0017106E" w:rsidRDefault="00C026FB" w:rsidP="002F11C2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quelli richiesti non sono documenti ma meri dati contenuti in archivi informatici;</w:t>
      </w:r>
    </w:p>
    <w:p w14:paraId="519DAD04" w14:textId="0BBBB8C4" w:rsidR="00A12DC1" w:rsidRPr="0017106E" w:rsidRDefault="00A12DC1" w:rsidP="002F11C2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Garamond" w:hAnsi="Garamond"/>
          <w:sz w:val="26"/>
          <w:szCs w:val="26"/>
        </w:rPr>
      </w:pPr>
      <w:r w:rsidRPr="0017106E">
        <w:rPr>
          <w:rFonts w:ascii="Garamond" w:hAnsi="Garamond"/>
          <w:sz w:val="26"/>
          <w:szCs w:val="26"/>
        </w:rPr>
        <w:t xml:space="preserve">nell’ambito del giudizio civile </w:t>
      </w:r>
      <w:r w:rsidR="004B0B66" w:rsidRPr="0017106E">
        <w:rPr>
          <w:rFonts w:ascii="Garamond" w:hAnsi="Garamond"/>
          <w:sz w:val="26"/>
          <w:szCs w:val="26"/>
        </w:rPr>
        <w:t>sono attribuiti a</w:t>
      </w:r>
      <w:r w:rsidRPr="0017106E">
        <w:rPr>
          <w:rFonts w:ascii="Garamond" w:hAnsi="Garamond"/>
          <w:sz w:val="26"/>
          <w:szCs w:val="26"/>
        </w:rPr>
        <w:t xml:space="preserve">l giudice </w:t>
      </w:r>
      <w:r w:rsidR="004B0B66" w:rsidRPr="0017106E">
        <w:rPr>
          <w:rFonts w:ascii="Garamond" w:hAnsi="Garamond"/>
          <w:sz w:val="26"/>
          <w:szCs w:val="26"/>
        </w:rPr>
        <w:t xml:space="preserve">specifici poteri </w:t>
      </w:r>
      <w:r w:rsidRPr="0017106E">
        <w:rPr>
          <w:rFonts w:ascii="Garamond" w:hAnsi="Garamond"/>
          <w:sz w:val="26"/>
          <w:szCs w:val="26"/>
        </w:rPr>
        <w:t xml:space="preserve">istruttori </w:t>
      </w:r>
      <w:r w:rsidR="002511B4">
        <w:rPr>
          <w:rFonts w:ascii="Garamond" w:hAnsi="Garamond"/>
          <w:sz w:val="26"/>
          <w:szCs w:val="26"/>
        </w:rPr>
        <w:t xml:space="preserve">anche </w:t>
      </w:r>
      <w:r w:rsidRPr="0017106E">
        <w:rPr>
          <w:rFonts w:ascii="Garamond" w:hAnsi="Garamond"/>
          <w:sz w:val="26"/>
          <w:szCs w:val="26"/>
        </w:rPr>
        <w:t xml:space="preserve">verso la PA, </w:t>
      </w:r>
      <w:r w:rsidR="004B0B66" w:rsidRPr="0017106E">
        <w:rPr>
          <w:rFonts w:ascii="Garamond" w:hAnsi="Garamond"/>
          <w:sz w:val="26"/>
          <w:szCs w:val="26"/>
        </w:rPr>
        <w:t>quali l’ordine di esibizione ex art. 210</w:t>
      </w:r>
      <w:r w:rsidR="002511B4">
        <w:rPr>
          <w:rFonts w:ascii="Garamond" w:hAnsi="Garamond"/>
          <w:sz w:val="26"/>
          <w:szCs w:val="26"/>
        </w:rPr>
        <w:t>-213</w:t>
      </w:r>
      <w:r w:rsidR="004B0B66" w:rsidRPr="0017106E">
        <w:rPr>
          <w:rFonts w:ascii="Garamond" w:hAnsi="Garamond"/>
          <w:sz w:val="26"/>
          <w:szCs w:val="26"/>
        </w:rPr>
        <w:t xml:space="preserve"> c.p.c., e tale normativa processuale è </w:t>
      </w:r>
      <w:r w:rsidR="00C026FB">
        <w:rPr>
          <w:rFonts w:ascii="Garamond" w:hAnsi="Garamond"/>
          <w:sz w:val="26"/>
          <w:szCs w:val="26"/>
        </w:rPr>
        <w:t xml:space="preserve">da considerarsi </w:t>
      </w:r>
      <w:r w:rsidR="004B0B66" w:rsidRPr="0017106E">
        <w:rPr>
          <w:rFonts w:ascii="Garamond" w:hAnsi="Garamond"/>
          <w:sz w:val="26"/>
          <w:szCs w:val="26"/>
        </w:rPr>
        <w:t>speciale (dunque derogatoria) rispetto alla disciplina amministrativa dell’accesso;</w:t>
      </w:r>
    </w:p>
    <w:p w14:paraId="5E714102" w14:textId="247B998B" w:rsidR="0084420B" w:rsidRPr="0017106E" w:rsidRDefault="00A12DC1" w:rsidP="002F11C2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Garamond" w:hAnsi="Garamond"/>
          <w:sz w:val="26"/>
          <w:szCs w:val="26"/>
        </w:rPr>
      </w:pPr>
      <w:r w:rsidRPr="0017106E">
        <w:rPr>
          <w:rFonts w:ascii="Garamond" w:hAnsi="Garamond"/>
          <w:sz w:val="26"/>
          <w:szCs w:val="26"/>
        </w:rPr>
        <w:t xml:space="preserve">in ogni caso, </w:t>
      </w:r>
      <w:r w:rsidR="004B0B66" w:rsidRPr="0017106E">
        <w:rPr>
          <w:rFonts w:ascii="Garamond" w:hAnsi="Garamond"/>
          <w:sz w:val="26"/>
          <w:szCs w:val="26"/>
        </w:rPr>
        <w:t>per l’accesso agli atti e documenti attinenti alla posizione economico/finanziaria d</w:t>
      </w:r>
      <w:r w:rsidR="002F11C2">
        <w:rPr>
          <w:rFonts w:ascii="Garamond" w:hAnsi="Garamond"/>
          <w:sz w:val="26"/>
          <w:szCs w:val="26"/>
        </w:rPr>
        <w:t xml:space="preserve">i uno dei coniugi </w:t>
      </w:r>
      <w:r w:rsidR="004B0B66" w:rsidRPr="0017106E">
        <w:rPr>
          <w:rFonts w:ascii="Garamond" w:hAnsi="Garamond"/>
          <w:sz w:val="26"/>
          <w:szCs w:val="26"/>
        </w:rPr>
        <w:t>nel giudizio di separazione</w:t>
      </w:r>
      <w:r w:rsidR="002F11C2">
        <w:rPr>
          <w:rFonts w:ascii="Garamond" w:hAnsi="Garamond"/>
          <w:sz w:val="26"/>
          <w:szCs w:val="26"/>
        </w:rPr>
        <w:t>,</w:t>
      </w:r>
      <w:r w:rsidR="004B0B66" w:rsidRPr="0017106E">
        <w:rPr>
          <w:rFonts w:ascii="Garamond" w:hAnsi="Garamond"/>
          <w:sz w:val="26"/>
          <w:szCs w:val="26"/>
        </w:rPr>
        <w:t xml:space="preserve"> sarebbe </w:t>
      </w:r>
      <w:r w:rsidRPr="0017106E">
        <w:rPr>
          <w:rFonts w:ascii="Garamond" w:hAnsi="Garamond"/>
          <w:sz w:val="26"/>
          <w:szCs w:val="26"/>
        </w:rPr>
        <w:t xml:space="preserve">necessaria una preventiva autorizzazione dell’Autorità Giudiziaria </w:t>
      </w:r>
      <w:r w:rsidR="0017106E" w:rsidRPr="0017106E">
        <w:rPr>
          <w:rFonts w:ascii="Garamond" w:hAnsi="Garamond"/>
          <w:sz w:val="26"/>
          <w:szCs w:val="26"/>
        </w:rPr>
        <w:t xml:space="preserve">investita della causa </w:t>
      </w:r>
      <w:r w:rsidR="004B0B66" w:rsidRPr="0017106E">
        <w:rPr>
          <w:rFonts w:ascii="Garamond" w:hAnsi="Garamond"/>
          <w:sz w:val="26"/>
          <w:szCs w:val="26"/>
        </w:rPr>
        <w:t xml:space="preserve">ai sensi degli artt. </w:t>
      </w:r>
      <w:r w:rsidR="0017106E" w:rsidRPr="0017106E">
        <w:rPr>
          <w:rFonts w:ascii="Garamond" w:hAnsi="Garamond"/>
          <w:sz w:val="26"/>
          <w:szCs w:val="26"/>
        </w:rPr>
        <w:t>artt. 492-bis c</w:t>
      </w:r>
      <w:r w:rsidR="000D3B6E">
        <w:rPr>
          <w:rFonts w:ascii="Garamond" w:hAnsi="Garamond"/>
          <w:sz w:val="26"/>
          <w:szCs w:val="26"/>
        </w:rPr>
        <w:t>.p.c.</w:t>
      </w:r>
      <w:r w:rsidR="0017106E" w:rsidRPr="0017106E">
        <w:rPr>
          <w:rFonts w:ascii="Garamond" w:hAnsi="Garamond"/>
          <w:sz w:val="26"/>
          <w:szCs w:val="26"/>
        </w:rPr>
        <w:t xml:space="preserve"> e 155-sexies disp. att. </w:t>
      </w:r>
      <w:r w:rsidR="000D3B6E">
        <w:rPr>
          <w:rFonts w:ascii="Garamond" w:hAnsi="Garamond"/>
          <w:sz w:val="26"/>
          <w:szCs w:val="26"/>
        </w:rPr>
        <w:t>c.p.c.</w:t>
      </w:r>
      <w:r w:rsidR="0017106E" w:rsidRPr="0017106E">
        <w:rPr>
          <w:rFonts w:ascii="Garamond" w:hAnsi="Garamond"/>
          <w:sz w:val="26"/>
          <w:szCs w:val="26"/>
        </w:rPr>
        <w:t xml:space="preserve">, </w:t>
      </w:r>
      <w:r w:rsidR="000D3B6E">
        <w:rPr>
          <w:rFonts w:ascii="Garamond" w:hAnsi="Garamond"/>
          <w:sz w:val="26"/>
          <w:szCs w:val="26"/>
        </w:rPr>
        <w:t xml:space="preserve">recanti </w:t>
      </w:r>
      <w:r w:rsidR="0017106E" w:rsidRPr="0017106E">
        <w:rPr>
          <w:rFonts w:ascii="Garamond" w:hAnsi="Garamond"/>
          <w:sz w:val="26"/>
          <w:szCs w:val="26"/>
        </w:rPr>
        <w:t xml:space="preserve">a </w:t>
      </w:r>
      <w:r w:rsidR="000D3B6E">
        <w:rPr>
          <w:rFonts w:ascii="Garamond" w:hAnsi="Garamond"/>
          <w:sz w:val="26"/>
          <w:szCs w:val="26"/>
        </w:rPr>
        <w:t>loro</w:t>
      </w:r>
      <w:r w:rsidR="0017106E" w:rsidRPr="0017106E">
        <w:rPr>
          <w:rFonts w:ascii="Garamond" w:hAnsi="Garamond"/>
          <w:sz w:val="26"/>
          <w:szCs w:val="26"/>
        </w:rPr>
        <w:t xml:space="preserve"> volta </w:t>
      </w:r>
      <w:r w:rsidR="000D3B6E">
        <w:rPr>
          <w:rFonts w:ascii="Garamond" w:hAnsi="Garamond"/>
          <w:sz w:val="26"/>
          <w:szCs w:val="26"/>
        </w:rPr>
        <w:t xml:space="preserve">una </w:t>
      </w:r>
      <w:r w:rsidR="0017106E" w:rsidRPr="0017106E">
        <w:rPr>
          <w:rFonts w:ascii="Garamond" w:hAnsi="Garamond"/>
          <w:sz w:val="26"/>
          <w:szCs w:val="26"/>
        </w:rPr>
        <w:t>disciplina speciale prevalente su quella generale riguardante l’accesso amministrativo.</w:t>
      </w:r>
    </w:p>
    <w:p w14:paraId="52226205" w14:textId="367B65B1" w:rsidR="0017106E" w:rsidRPr="0017106E" w:rsidRDefault="0017106E" w:rsidP="0017106E">
      <w:pPr>
        <w:pStyle w:val="Nessunaspaziatura"/>
        <w:jc w:val="both"/>
        <w:rPr>
          <w:rFonts w:ascii="Garamond" w:hAnsi="Garamond"/>
          <w:sz w:val="26"/>
          <w:szCs w:val="26"/>
        </w:rPr>
      </w:pPr>
    </w:p>
    <w:p w14:paraId="36F90DEB" w14:textId="1C912A47" w:rsidR="0017106E" w:rsidRPr="0017106E" w:rsidRDefault="0017106E" w:rsidP="0017106E">
      <w:pPr>
        <w:pStyle w:val="Nessunaspaziatura"/>
        <w:jc w:val="both"/>
        <w:rPr>
          <w:rFonts w:ascii="Garamond" w:hAnsi="Garamond"/>
          <w:sz w:val="26"/>
          <w:szCs w:val="26"/>
        </w:rPr>
      </w:pPr>
      <w:r w:rsidRPr="002F11C2">
        <w:rPr>
          <w:rFonts w:ascii="Garamond" w:hAnsi="Garamond"/>
          <w:i/>
          <w:iCs/>
          <w:sz w:val="26"/>
          <w:szCs w:val="26"/>
        </w:rPr>
        <w:t xml:space="preserve">Quid </w:t>
      </w:r>
      <w:proofErr w:type="spellStart"/>
      <w:r w:rsidRPr="002F11C2">
        <w:rPr>
          <w:rFonts w:ascii="Garamond" w:hAnsi="Garamond"/>
          <w:i/>
          <w:iCs/>
          <w:sz w:val="26"/>
          <w:szCs w:val="26"/>
        </w:rPr>
        <w:t>juris</w:t>
      </w:r>
      <w:proofErr w:type="spellEnd"/>
      <w:r w:rsidRPr="0017106E">
        <w:rPr>
          <w:rFonts w:ascii="Garamond" w:hAnsi="Garamond"/>
          <w:sz w:val="26"/>
          <w:szCs w:val="26"/>
        </w:rPr>
        <w:t>?</w:t>
      </w:r>
    </w:p>
    <w:p w14:paraId="2E8D3B9E" w14:textId="32C123D2" w:rsidR="0084420B" w:rsidRPr="0017106E" w:rsidRDefault="0017106E" w:rsidP="0017106E">
      <w:pPr>
        <w:pStyle w:val="Nessunaspaziatura"/>
        <w:jc w:val="both"/>
        <w:rPr>
          <w:rFonts w:ascii="Garamond" w:hAnsi="Garamond"/>
          <w:sz w:val="26"/>
          <w:szCs w:val="26"/>
        </w:rPr>
      </w:pPr>
      <w:r w:rsidRPr="0017106E">
        <w:rPr>
          <w:rFonts w:ascii="Garamond" w:hAnsi="Garamond"/>
          <w:sz w:val="26"/>
          <w:szCs w:val="26"/>
        </w:rPr>
        <w:t>Quali argomenti si possono sostenere a difesa della signora TIZIA in un ricorso al TAR contro il provvedimento di diniego di accesso?</w:t>
      </w:r>
    </w:p>
    <w:sectPr w:rsidR="0084420B" w:rsidRPr="0017106E" w:rsidSect="0017106E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3A0C"/>
    <w:multiLevelType w:val="hybridMultilevel"/>
    <w:tmpl w:val="244A9982"/>
    <w:lvl w:ilvl="0" w:tplc="A3B008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F016E"/>
    <w:multiLevelType w:val="hybridMultilevel"/>
    <w:tmpl w:val="592C82A8"/>
    <w:lvl w:ilvl="0" w:tplc="A3B008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188318">
    <w:abstractNumId w:val="1"/>
  </w:num>
  <w:num w:numId="2" w16cid:durableId="53670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0B"/>
    <w:rsid w:val="00004667"/>
    <w:rsid w:val="000D3B6E"/>
    <w:rsid w:val="0017106E"/>
    <w:rsid w:val="002511B4"/>
    <w:rsid w:val="002F11C2"/>
    <w:rsid w:val="004616FF"/>
    <w:rsid w:val="004B0B66"/>
    <w:rsid w:val="0084420B"/>
    <w:rsid w:val="00A12DC1"/>
    <w:rsid w:val="00C026FB"/>
    <w:rsid w:val="00D41F6F"/>
    <w:rsid w:val="00D9242B"/>
    <w:rsid w:val="00E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F636"/>
  <w15:chartTrackingRefBased/>
  <w15:docId w15:val="{C12AC888-D087-43ED-BA0B-FADDF866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4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DC1"/>
    <w:pPr>
      <w:ind w:left="720"/>
      <w:contextualSpacing/>
    </w:pPr>
  </w:style>
  <w:style w:type="paragraph" w:styleId="Nessunaspaziatura">
    <w:name w:val="No Spacing"/>
    <w:uiPriority w:val="1"/>
    <w:qFormat/>
    <w:rsid w:val="00D41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Pizzato</dc:creator>
  <cp:keywords/>
  <dc:description/>
  <cp:lastModifiedBy>Marica Guzzonato</cp:lastModifiedBy>
  <cp:revision>2</cp:revision>
  <dcterms:created xsi:type="dcterms:W3CDTF">2023-07-13T08:39:00Z</dcterms:created>
  <dcterms:modified xsi:type="dcterms:W3CDTF">2023-07-13T08:39:00Z</dcterms:modified>
</cp:coreProperties>
</file>