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F2" w:rsidRPr="000E2B93" w:rsidRDefault="004D6597" w:rsidP="000007D0">
      <w:pPr>
        <w:autoSpaceDE w:val="0"/>
        <w:autoSpaceDN w:val="0"/>
        <w:adjustRightInd w:val="0"/>
        <w:spacing w:after="0" w:line="360" w:lineRule="auto"/>
        <w:jc w:val="center"/>
        <w:rPr>
          <w:rFonts w:ascii="Times New Roman" w:hAnsi="Times New Roman" w:cs="Times New Roman"/>
          <w:b/>
          <w:sz w:val="24"/>
          <w:szCs w:val="24"/>
        </w:rPr>
      </w:pPr>
      <w:r w:rsidRPr="000E2B93">
        <w:rPr>
          <w:rFonts w:ascii="Times New Roman" w:hAnsi="Times New Roman" w:cs="Times New Roman"/>
          <w:b/>
          <w:sz w:val="24"/>
          <w:szCs w:val="24"/>
        </w:rPr>
        <w:t xml:space="preserve"> </w:t>
      </w:r>
      <w:r w:rsidR="00890EF2" w:rsidRPr="000E2B93">
        <w:rPr>
          <w:rFonts w:ascii="Times New Roman" w:hAnsi="Times New Roman" w:cs="Times New Roman"/>
          <w:b/>
          <w:sz w:val="24"/>
          <w:szCs w:val="24"/>
        </w:rPr>
        <w:t>“</w:t>
      </w:r>
      <w:r w:rsidR="00890EF2" w:rsidRPr="000E2B93">
        <w:rPr>
          <w:rFonts w:ascii="Times New Roman" w:hAnsi="Times New Roman" w:cs="Times New Roman"/>
          <w:b/>
          <w:i/>
          <w:sz w:val="24"/>
          <w:szCs w:val="24"/>
        </w:rPr>
        <w:t>IL PROCEDIMENTO MONITORIO</w:t>
      </w:r>
      <w:r w:rsidR="00890EF2" w:rsidRPr="000E2B93">
        <w:rPr>
          <w:rFonts w:ascii="Times New Roman" w:hAnsi="Times New Roman" w:cs="Times New Roman"/>
          <w:b/>
          <w:sz w:val="24"/>
          <w:szCs w:val="24"/>
        </w:rPr>
        <w:t>”</w:t>
      </w:r>
    </w:p>
    <w:p w:rsidR="004D6597" w:rsidRPr="000E2B93" w:rsidRDefault="000E2B93" w:rsidP="000007D0">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Scuola F</w:t>
      </w:r>
      <w:r w:rsidR="004D6597" w:rsidRPr="000E2B93">
        <w:rPr>
          <w:rFonts w:ascii="Times New Roman" w:hAnsi="Times New Roman" w:cs="Times New Roman"/>
          <w:b/>
          <w:sz w:val="24"/>
          <w:szCs w:val="24"/>
        </w:rPr>
        <w:t>orense di Padova, 2 dicembre 2024</w:t>
      </w:r>
    </w:p>
    <w:p w:rsidR="000007D0" w:rsidRDefault="000007D0" w:rsidP="000007D0">
      <w:pPr>
        <w:autoSpaceDE w:val="0"/>
        <w:autoSpaceDN w:val="0"/>
        <w:adjustRightInd w:val="0"/>
        <w:spacing w:after="0" w:line="360" w:lineRule="auto"/>
        <w:jc w:val="center"/>
        <w:rPr>
          <w:rFonts w:ascii="Times New Roman" w:hAnsi="Times New Roman" w:cs="Times New Roman"/>
          <w:b/>
          <w:sz w:val="24"/>
          <w:szCs w:val="24"/>
        </w:rPr>
      </w:pPr>
      <w:r w:rsidRPr="000E2B93">
        <w:rPr>
          <w:rFonts w:ascii="Times New Roman" w:hAnsi="Times New Roman" w:cs="Times New Roman"/>
          <w:b/>
          <w:sz w:val="24"/>
          <w:szCs w:val="24"/>
        </w:rPr>
        <w:t xml:space="preserve">Prof.ssa Monica Pilloni </w:t>
      </w:r>
    </w:p>
    <w:p w:rsidR="000E2B93" w:rsidRDefault="000E2B93" w:rsidP="000007D0">
      <w:pPr>
        <w:autoSpaceDE w:val="0"/>
        <w:autoSpaceDN w:val="0"/>
        <w:adjustRightInd w:val="0"/>
        <w:spacing w:after="0" w:line="360" w:lineRule="auto"/>
        <w:jc w:val="center"/>
        <w:rPr>
          <w:rFonts w:ascii="Times New Roman" w:hAnsi="Times New Roman" w:cs="Times New Roman"/>
          <w:b/>
          <w:sz w:val="24"/>
          <w:szCs w:val="24"/>
        </w:rPr>
      </w:pPr>
    </w:p>
    <w:p w:rsidR="000E2B93" w:rsidRPr="000E2B93" w:rsidRDefault="000E2B93" w:rsidP="000007D0">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CASI</w:t>
      </w:r>
    </w:p>
    <w:p w:rsidR="00890EF2" w:rsidRPr="000E2B93" w:rsidRDefault="00890EF2" w:rsidP="000007D0">
      <w:pPr>
        <w:autoSpaceDE w:val="0"/>
        <w:autoSpaceDN w:val="0"/>
        <w:adjustRightInd w:val="0"/>
        <w:spacing w:after="0" w:line="360" w:lineRule="auto"/>
        <w:jc w:val="center"/>
        <w:rPr>
          <w:rFonts w:ascii="Times New Roman" w:hAnsi="Times New Roman" w:cs="Times New Roman"/>
          <w:b/>
          <w:sz w:val="24"/>
          <w:szCs w:val="24"/>
        </w:rPr>
      </w:pPr>
    </w:p>
    <w:p w:rsidR="00C31EE8" w:rsidRPr="000E2B93" w:rsidRDefault="00EF2FE1" w:rsidP="000007D0">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0E2B93">
        <w:rPr>
          <w:rFonts w:ascii="Times New Roman" w:hAnsi="Times New Roman" w:cs="Times New Roman"/>
          <w:sz w:val="24"/>
          <w:szCs w:val="24"/>
        </w:rPr>
        <w:t xml:space="preserve">Il Tribunale di Padova, su ricorso di Sempronio, emette un decreto ingiuntivo provvisoriamente esecutivo in danno di Tizio per la somma di € 15.000, oltre interessi e spese legali. </w:t>
      </w:r>
      <w:r w:rsidR="00292B94" w:rsidRPr="000E2B93">
        <w:rPr>
          <w:rFonts w:ascii="Times New Roman" w:hAnsi="Times New Roman" w:cs="Times New Roman"/>
          <w:sz w:val="24"/>
          <w:szCs w:val="24"/>
        </w:rPr>
        <w:t>Tizio</w:t>
      </w:r>
      <w:r w:rsidRPr="000E2B93">
        <w:rPr>
          <w:rFonts w:ascii="Times New Roman" w:hAnsi="Times New Roman" w:cs="Times New Roman"/>
          <w:sz w:val="24"/>
          <w:szCs w:val="24"/>
        </w:rPr>
        <w:t xml:space="preserve"> propone opposizione avverso il </w:t>
      </w:r>
      <w:proofErr w:type="spellStart"/>
      <w:r w:rsidRPr="000E2B93">
        <w:rPr>
          <w:rFonts w:ascii="Times New Roman" w:hAnsi="Times New Roman" w:cs="Times New Roman"/>
          <w:sz w:val="24"/>
          <w:szCs w:val="24"/>
        </w:rPr>
        <w:t>d.i</w:t>
      </w:r>
      <w:proofErr w:type="spellEnd"/>
      <w:r w:rsidRPr="000E2B93">
        <w:rPr>
          <w:rFonts w:ascii="Times New Roman" w:hAnsi="Times New Roman" w:cs="Times New Roman"/>
          <w:sz w:val="24"/>
          <w:szCs w:val="24"/>
        </w:rPr>
        <w:t xml:space="preserve">. notificato, non formulando però nel proprio atto di </w:t>
      </w:r>
      <w:r w:rsidR="00292B94" w:rsidRPr="000E2B93">
        <w:rPr>
          <w:rFonts w:ascii="Times New Roman" w:hAnsi="Times New Roman" w:cs="Times New Roman"/>
          <w:sz w:val="24"/>
          <w:szCs w:val="24"/>
        </w:rPr>
        <w:t>citazione</w:t>
      </w:r>
      <w:r w:rsidRPr="000E2B93">
        <w:rPr>
          <w:rFonts w:ascii="Times New Roman" w:hAnsi="Times New Roman" w:cs="Times New Roman"/>
          <w:sz w:val="24"/>
          <w:szCs w:val="24"/>
        </w:rPr>
        <w:t xml:space="preserve"> </w:t>
      </w:r>
      <w:r w:rsidR="000007D0" w:rsidRPr="000E2B93">
        <w:rPr>
          <w:rFonts w:ascii="Times New Roman" w:hAnsi="Times New Roman" w:cs="Times New Roman"/>
          <w:sz w:val="24"/>
          <w:szCs w:val="24"/>
        </w:rPr>
        <w:t xml:space="preserve">in opposizione </w:t>
      </w:r>
      <w:r w:rsidRPr="000E2B93">
        <w:rPr>
          <w:rFonts w:ascii="Times New Roman" w:hAnsi="Times New Roman" w:cs="Times New Roman"/>
          <w:sz w:val="24"/>
          <w:szCs w:val="24"/>
        </w:rPr>
        <w:t xml:space="preserve">richiesta di sospensiva </w:t>
      </w:r>
      <w:r w:rsidR="000007D0" w:rsidRPr="000E2B93">
        <w:rPr>
          <w:rFonts w:ascii="Times New Roman" w:hAnsi="Times New Roman" w:cs="Times New Roman"/>
          <w:sz w:val="24"/>
          <w:szCs w:val="24"/>
        </w:rPr>
        <w:t>dell’esecuzione</w:t>
      </w:r>
      <w:r w:rsidRPr="000E2B93">
        <w:rPr>
          <w:rFonts w:ascii="Times New Roman" w:hAnsi="Times New Roman" w:cs="Times New Roman"/>
          <w:sz w:val="24"/>
          <w:szCs w:val="24"/>
        </w:rPr>
        <w:t xml:space="preserve"> </w:t>
      </w:r>
      <w:r w:rsidR="00292B94" w:rsidRPr="000E2B93">
        <w:rPr>
          <w:rFonts w:ascii="Times New Roman" w:hAnsi="Times New Roman" w:cs="Times New Roman"/>
          <w:sz w:val="24"/>
          <w:szCs w:val="24"/>
        </w:rPr>
        <w:t xml:space="preserve">del </w:t>
      </w:r>
      <w:proofErr w:type="spellStart"/>
      <w:r w:rsidR="00292B94" w:rsidRPr="000E2B93">
        <w:rPr>
          <w:rFonts w:ascii="Times New Roman" w:hAnsi="Times New Roman" w:cs="Times New Roman"/>
          <w:sz w:val="24"/>
          <w:szCs w:val="24"/>
        </w:rPr>
        <w:t>d.i</w:t>
      </w:r>
      <w:proofErr w:type="spellEnd"/>
      <w:r w:rsidRPr="000E2B93">
        <w:rPr>
          <w:rFonts w:ascii="Times New Roman" w:hAnsi="Times New Roman" w:cs="Times New Roman"/>
          <w:sz w:val="24"/>
          <w:szCs w:val="24"/>
        </w:rPr>
        <w:t xml:space="preserve">. </w:t>
      </w:r>
    </w:p>
    <w:p w:rsidR="00C31EE8" w:rsidRPr="000E2B93" w:rsidRDefault="00EF2FE1" w:rsidP="00C31EE8">
      <w:pPr>
        <w:pStyle w:val="Paragrafoelenco"/>
        <w:autoSpaceDE w:val="0"/>
        <w:autoSpaceDN w:val="0"/>
        <w:adjustRightInd w:val="0"/>
        <w:spacing w:after="0" w:line="360" w:lineRule="auto"/>
        <w:jc w:val="both"/>
        <w:rPr>
          <w:rFonts w:ascii="Times New Roman" w:hAnsi="Times New Roman" w:cs="Times New Roman"/>
          <w:sz w:val="24"/>
          <w:szCs w:val="24"/>
        </w:rPr>
      </w:pPr>
      <w:r w:rsidRPr="000E2B93">
        <w:rPr>
          <w:rFonts w:ascii="Times New Roman" w:hAnsi="Times New Roman" w:cs="Times New Roman"/>
          <w:sz w:val="24"/>
          <w:szCs w:val="24"/>
        </w:rPr>
        <w:t xml:space="preserve">Nel frattempo </w:t>
      </w:r>
      <w:r w:rsidR="00292B94" w:rsidRPr="000E2B93">
        <w:rPr>
          <w:rFonts w:ascii="Times New Roman" w:hAnsi="Times New Roman" w:cs="Times New Roman"/>
          <w:sz w:val="24"/>
          <w:szCs w:val="24"/>
        </w:rPr>
        <w:t>Sempronio</w:t>
      </w:r>
      <w:r w:rsidRPr="000E2B93">
        <w:rPr>
          <w:rFonts w:ascii="Times New Roman" w:hAnsi="Times New Roman" w:cs="Times New Roman"/>
          <w:sz w:val="24"/>
          <w:szCs w:val="24"/>
        </w:rPr>
        <w:t xml:space="preserve"> decide di procedere esecutivamente nei confronti di Tizio provvedendo a notificargli l’atto di precetto, con cui intima al debitore di pagare interamente la somma dovuta. Tizio decide </w:t>
      </w:r>
      <w:r w:rsidR="00292B94" w:rsidRPr="000E2B93">
        <w:rPr>
          <w:rFonts w:ascii="Times New Roman" w:hAnsi="Times New Roman" w:cs="Times New Roman"/>
          <w:sz w:val="24"/>
          <w:szCs w:val="24"/>
        </w:rPr>
        <w:t xml:space="preserve">allora </w:t>
      </w:r>
      <w:r w:rsidRPr="000E2B93">
        <w:rPr>
          <w:rFonts w:ascii="Times New Roman" w:hAnsi="Times New Roman" w:cs="Times New Roman"/>
          <w:sz w:val="24"/>
          <w:szCs w:val="24"/>
        </w:rPr>
        <w:t>di proporre opposizione all’esecuzione: chiedendo preliminarmente la sospensione dell’efficacia esecutiva del titolo ai sens</w:t>
      </w:r>
      <w:r w:rsidR="000007D0" w:rsidRPr="000E2B93">
        <w:rPr>
          <w:rFonts w:ascii="Times New Roman" w:hAnsi="Times New Roman" w:cs="Times New Roman"/>
          <w:sz w:val="24"/>
          <w:szCs w:val="24"/>
        </w:rPr>
        <w:t>i del c. 1 dell’art. 615 c.p.c. a tal fine</w:t>
      </w:r>
      <w:r w:rsidRPr="000E2B93">
        <w:rPr>
          <w:rFonts w:ascii="Times New Roman" w:hAnsi="Times New Roman" w:cs="Times New Roman"/>
          <w:sz w:val="24"/>
          <w:szCs w:val="24"/>
        </w:rPr>
        <w:t xml:space="preserve"> adducendo a fondamento della richiesta inibitoria</w:t>
      </w:r>
      <w:r w:rsidR="000007D0" w:rsidRPr="000E2B93">
        <w:rPr>
          <w:rFonts w:ascii="Times New Roman" w:hAnsi="Times New Roman" w:cs="Times New Roman"/>
          <w:sz w:val="24"/>
          <w:szCs w:val="24"/>
        </w:rPr>
        <w:t>,</w:t>
      </w:r>
      <w:r w:rsidRPr="000E2B93">
        <w:rPr>
          <w:rFonts w:ascii="Times New Roman" w:hAnsi="Times New Roman" w:cs="Times New Roman"/>
          <w:sz w:val="24"/>
          <w:szCs w:val="24"/>
        </w:rPr>
        <w:t xml:space="preserve"> nonché della stessa opposizione esecutiva</w:t>
      </w:r>
      <w:r w:rsidR="000007D0" w:rsidRPr="000E2B93">
        <w:rPr>
          <w:rFonts w:ascii="Times New Roman" w:hAnsi="Times New Roman" w:cs="Times New Roman"/>
          <w:sz w:val="24"/>
          <w:szCs w:val="24"/>
        </w:rPr>
        <w:t>,</w:t>
      </w:r>
      <w:r w:rsidRPr="000E2B93">
        <w:rPr>
          <w:rFonts w:ascii="Times New Roman" w:hAnsi="Times New Roman" w:cs="Times New Roman"/>
          <w:sz w:val="24"/>
          <w:szCs w:val="24"/>
        </w:rPr>
        <w:t xml:space="preserve"> la circostanza che il credito portato dal titolo si è est</w:t>
      </w:r>
      <w:r w:rsidR="000007D0" w:rsidRPr="000E2B93">
        <w:rPr>
          <w:rFonts w:ascii="Times New Roman" w:hAnsi="Times New Roman" w:cs="Times New Roman"/>
          <w:sz w:val="24"/>
          <w:szCs w:val="24"/>
        </w:rPr>
        <w:t>into per intervenuto pagamento (</w:t>
      </w:r>
      <w:r w:rsidRPr="000E2B93">
        <w:rPr>
          <w:rFonts w:ascii="Times New Roman" w:hAnsi="Times New Roman" w:cs="Times New Roman"/>
          <w:sz w:val="24"/>
          <w:szCs w:val="24"/>
        </w:rPr>
        <w:t xml:space="preserve">all’uopo producendo l’atto di quietanza già prodotto nel giudizio </w:t>
      </w:r>
      <w:r w:rsidR="00292B94" w:rsidRPr="000E2B93">
        <w:rPr>
          <w:rFonts w:ascii="Times New Roman" w:hAnsi="Times New Roman" w:cs="Times New Roman"/>
          <w:sz w:val="24"/>
          <w:szCs w:val="24"/>
        </w:rPr>
        <w:t xml:space="preserve">di opposizione a </w:t>
      </w:r>
      <w:proofErr w:type="spellStart"/>
      <w:r w:rsidR="00292B94" w:rsidRPr="000E2B93">
        <w:rPr>
          <w:rFonts w:ascii="Times New Roman" w:hAnsi="Times New Roman" w:cs="Times New Roman"/>
          <w:sz w:val="24"/>
          <w:szCs w:val="24"/>
        </w:rPr>
        <w:t>d.i</w:t>
      </w:r>
      <w:proofErr w:type="spellEnd"/>
      <w:r w:rsidR="00292B94" w:rsidRPr="000E2B93">
        <w:rPr>
          <w:rFonts w:ascii="Times New Roman" w:hAnsi="Times New Roman" w:cs="Times New Roman"/>
          <w:sz w:val="24"/>
          <w:szCs w:val="24"/>
        </w:rPr>
        <w:t>.</w:t>
      </w:r>
      <w:r w:rsidR="000007D0" w:rsidRPr="000E2B93">
        <w:rPr>
          <w:rFonts w:ascii="Times New Roman" w:hAnsi="Times New Roman" w:cs="Times New Roman"/>
          <w:sz w:val="24"/>
          <w:szCs w:val="24"/>
        </w:rPr>
        <w:t>).</w:t>
      </w:r>
    </w:p>
    <w:p w:rsidR="000007D0" w:rsidRPr="000E2B93" w:rsidRDefault="00EF2FE1" w:rsidP="00C31EE8">
      <w:pPr>
        <w:pStyle w:val="Paragrafoelenco"/>
        <w:autoSpaceDE w:val="0"/>
        <w:autoSpaceDN w:val="0"/>
        <w:adjustRightInd w:val="0"/>
        <w:spacing w:after="0" w:line="360" w:lineRule="auto"/>
        <w:jc w:val="both"/>
        <w:rPr>
          <w:rFonts w:ascii="Times New Roman" w:hAnsi="Times New Roman" w:cs="Times New Roman"/>
          <w:sz w:val="24"/>
          <w:szCs w:val="24"/>
        </w:rPr>
      </w:pPr>
      <w:r w:rsidRPr="000E2B93">
        <w:rPr>
          <w:rFonts w:ascii="Times New Roman" w:hAnsi="Times New Roman" w:cs="Times New Roman"/>
          <w:sz w:val="24"/>
          <w:szCs w:val="24"/>
        </w:rPr>
        <w:t xml:space="preserve">Inoltre, avendo scorto un errore nel precetto predisposto da </w:t>
      </w:r>
      <w:r w:rsidR="00292B94" w:rsidRPr="000E2B93">
        <w:rPr>
          <w:rFonts w:ascii="Times New Roman" w:hAnsi="Times New Roman" w:cs="Times New Roman"/>
          <w:sz w:val="24"/>
          <w:szCs w:val="24"/>
        </w:rPr>
        <w:t>Sempronio</w:t>
      </w:r>
      <w:r w:rsidRPr="000E2B93">
        <w:rPr>
          <w:rFonts w:ascii="Times New Roman" w:hAnsi="Times New Roman" w:cs="Times New Roman"/>
          <w:sz w:val="24"/>
          <w:szCs w:val="24"/>
        </w:rPr>
        <w:t xml:space="preserve"> inerente la determinazione dell’importo complessivo degli interessi dovuti (</w:t>
      </w:r>
      <w:r w:rsidR="000007D0" w:rsidRPr="000E2B93">
        <w:rPr>
          <w:rFonts w:ascii="Times New Roman" w:hAnsi="Times New Roman" w:cs="Times New Roman"/>
          <w:sz w:val="24"/>
          <w:szCs w:val="24"/>
        </w:rPr>
        <w:t>da cui</w:t>
      </w:r>
      <w:r w:rsidRPr="000E2B93">
        <w:rPr>
          <w:rFonts w:ascii="Times New Roman" w:hAnsi="Times New Roman" w:cs="Times New Roman"/>
          <w:sz w:val="24"/>
          <w:szCs w:val="24"/>
        </w:rPr>
        <w:t xml:space="preserve"> la richiesta di pagamento di una somma superiore rispetto a quella dovuta), Tizio decide di contestarlo, formulando la predetta censura nel medesimo atto di opposizione all’esecuzione. </w:t>
      </w:r>
    </w:p>
    <w:p w:rsidR="00EF2FE1" w:rsidRPr="000E2B93" w:rsidRDefault="00EF2FE1" w:rsidP="000007D0">
      <w:pPr>
        <w:pStyle w:val="Paragrafoelenco"/>
        <w:autoSpaceDE w:val="0"/>
        <w:autoSpaceDN w:val="0"/>
        <w:adjustRightInd w:val="0"/>
        <w:spacing w:after="0" w:line="360" w:lineRule="auto"/>
        <w:jc w:val="both"/>
        <w:rPr>
          <w:rFonts w:ascii="Times New Roman" w:hAnsi="Times New Roman" w:cs="Times New Roman"/>
          <w:sz w:val="24"/>
          <w:szCs w:val="24"/>
        </w:rPr>
      </w:pPr>
      <w:r w:rsidRPr="000E2B93">
        <w:rPr>
          <w:rFonts w:ascii="Times New Roman" w:hAnsi="Times New Roman" w:cs="Times New Roman"/>
          <w:sz w:val="24"/>
          <w:szCs w:val="24"/>
        </w:rPr>
        <w:t xml:space="preserve">Quali contestazioni potrà sollevare </w:t>
      </w:r>
      <w:r w:rsidR="00292B94" w:rsidRPr="000E2B93">
        <w:rPr>
          <w:rFonts w:ascii="Times New Roman" w:hAnsi="Times New Roman" w:cs="Times New Roman"/>
          <w:sz w:val="24"/>
          <w:szCs w:val="24"/>
        </w:rPr>
        <w:t>Sempronio</w:t>
      </w:r>
      <w:r w:rsidRPr="000E2B93">
        <w:rPr>
          <w:rFonts w:ascii="Times New Roman" w:hAnsi="Times New Roman" w:cs="Times New Roman"/>
          <w:sz w:val="24"/>
          <w:szCs w:val="24"/>
        </w:rPr>
        <w:t xml:space="preserve"> a fronte dell’iniziativa di Tizio? </w:t>
      </w:r>
    </w:p>
    <w:p w:rsidR="00EF2FE1" w:rsidRPr="000E2B93" w:rsidRDefault="00EF2FE1" w:rsidP="000007D0">
      <w:pPr>
        <w:pStyle w:val="Paragrafoelenco"/>
        <w:autoSpaceDE w:val="0"/>
        <w:autoSpaceDN w:val="0"/>
        <w:adjustRightInd w:val="0"/>
        <w:spacing w:after="0" w:line="360" w:lineRule="auto"/>
        <w:jc w:val="both"/>
        <w:rPr>
          <w:sz w:val="24"/>
          <w:szCs w:val="24"/>
        </w:rPr>
      </w:pPr>
    </w:p>
    <w:p w:rsidR="000007D0" w:rsidRDefault="000007D0" w:rsidP="000F530A">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0E2B93">
        <w:rPr>
          <w:rFonts w:ascii="Times New Roman" w:hAnsi="Times New Roman" w:cs="Times New Roman"/>
          <w:sz w:val="24"/>
          <w:szCs w:val="24"/>
        </w:rPr>
        <w:t xml:space="preserve">Tizio, creditore nei confronti della società Alfa </w:t>
      </w:r>
      <w:proofErr w:type="spellStart"/>
      <w:r w:rsidRPr="000E2B93">
        <w:rPr>
          <w:rFonts w:ascii="Times New Roman" w:hAnsi="Times New Roman" w:cs="Times New Roman"/>
          <w:sz w:val="24"/>
          <w:szCs w:val="24"/>
        </w:rPr>
        <w:t>srl</w:t>
      </w:r>
      <w:proofErr w:type="spellEnd"/>
      <w:r w:rsidRPr="000E2B93">
        <w:rPr>
          <w:rFonts w:ascii="Times New Roman" w:hAnsi="Times New Roman" w:cs="Times New Roman"/>
          <w:sz w:val="24"/>
          <w:szCs w:val="24"/>
        </w:rPr>
        <w:t xml:space="preserve"> della somma di € 25.000 in forza di un contratto di compravendita rimasto inadempiuto, ottiene dal Tribunale di Padova un decreto ingiunto provvisoriamente esecutivo </w:t>
      </w:r>
      <w:r w:rsidRPr="000E2B93">
        <w:rPr>
          <w:rFonts w:ascii="Times New Roman" w:hAnsi="Times New Roman" w:cs="Times New Roman"/>
          <w:i/>
          <w:sz w:val="24"/>
          <w:szCs w:val="24"/>
        </w:rPr>
        <w:t>ex</w:t>
      </w:r>
      <w:r w:rsidRPr="000E2B93">
        <w:rPr>
          <w:rFonts w:ascii="Times New Roman" w:hAnsi="Times New Roman" w:cs="Times New Roman"/>
          <w:sz w:val="24"/>
          <w:szCs w:val="24"/>
        </w:rPr>
        <w:t xml:space="preserve"> art. 642 c.p.c., che provvede a notificare alla società Alfa </w:t>
      </w:r>
      <w:proofErr w:type="spellStart"/>
      <w:r w:rsidRPr="000E2B93">
        <w:rPr>
          <w:rFonts w:ascii="Times New Roman" w:hAnsi="Times New Roman" w:cs="Times New Roman"/>
          <w:sz w:val="24"/>
          <w:szCs w:val="24"/>
        </w:rPr>
        <w:t>srl</w:t>
      </w:r>
      <w:proofErr w:type="spellEnd"/>
      <w:r w:rsidRPr="000E2B93">
        <w:rPr>
          <w:rFonts w:ascii="Times New Roman" w:hAnsi="Times New Roman" w:cs="Times New Roman"/>
          <w:sz w:val="24"/>
          <w:szCs w:val="24"/>
        </w:rPr>
        <w:t>, in persona del suo legale rappresentante. Successivamente viene notificato ad Alfa</w:t>
      </w:r>
      <w:r w:rsidR="000E2B93">
        <w:rPr>
          <w:rFonts w:ascii="Times New Roman" w:hAnsi="Times New Roman" w:cs="Times New Roman"/>
          <w:sz w:val="24"/>
          <w:szCs w:val="24"/>
        </w:rPr>
        <w:t xml:space="preserve"> </w:t>
      </w:r>
      <w:proofErr w:type="spellStart"/>
      <w:r w:rsidR="000E2B93">
        <w:rPr>
          <w:rFonts w:ascii="Times New Roman" w:hAnsi="Times New Roman" w:cs="Times New Roman"/>
          <w:sz w:val="24"/>
          <w:szCs w:val="24"/>
        </w:rPr>
        <w:t>srl</w:t>
      </w:r>
      <w:proofErr w:type="spellEnd"/>
      <w:r w:rsidRPr="000E2B93">
        <w:rPr>
          <w:rFonts w:ascii="Times New Roman" w:hAnsi="Times New Roman" w:cs="Times New Roman"/>
          <w:sz w:val="24"/>
          <w:szCs w:val="24"/>
        </w:rPr>
        <w:t xml:space="preserve"> atto di precetto. Quest’ultima decide di proporre opposizione all’esecuzione </w:t>
      </w:r>
      <w:r w:rsidRPr="000E2B93">
        <w:rPr>
          <w:rFonts w:ascii="Times New Roman" w:hAnsi="Times New Roman" w:cs="Times New Roman"/>
          <w:i/>
          <w:sz w:val="24"/>
          <w:szCs w:val="24"/>
        </w:rPr>
        <w:t>ex</w:t>
      </w:r>
      <w:r w:rsidRPr="000E2B93">
        <w:rPr>
          <w:rFonts w:ascii="Times New Roman" w:hAnsi="Times New Roman" w:cs="Times New Roman"/>
          <w:sz w:val="24"/>
          <w:szCs w:val="24"/>
        </w:rPr>
        <w:t xml:space="preserve"> art. 615 c.p.c., deducendo la circostanza che la notifica del </w:t>
      </w:r>
      <w:proofErr w:type="spellStart"/>
      <w:r w:rsidRPr="000E2B93">
        <w:rPr>
          <w:rFonts w:ascii="Times New Roman" w:hAnsi="Times New Roman" w:cs="Times New Roman"/>
          <w:sz w:val="24"/>
          <w:szCs w:val="24"/>
        </w:rPr>
        <w:t>d.i</w:t>
      </w:r>
      <w:proofErr w:type="spellEnd"/>
      <w:r w:rsidRPr="000E2B93">
        <w:rPr>
          <w:rFonts w:ascii="Times New Roman" w:hAnsi="Times New Roman" w:cs="Times New Roman"/>
          <w:sz w:val="24"/>
          <w:szCs w:val="24"/>
        </w:rPr>
        <w:t xml:space="preserve">. esecutivo è stata effettuata tardivamente, ossia oltre 60 gg. dalla pronuncia e che, pertanto, il </w:t>
      </w:r>
      <w:proofErr w:type="spellStart"/>
      <w:r w:rsidRPr="000E2B93">
        <w:rPr>
          <w:rFonts w:ascii="Times New Roman" w:hAnsi="Times New Roman" w:cs="Times New Roman"/>
          <w:sz w:val="24"/>
          <w:szCs w:val="24"/>
        </w:rPr>
        <w:t>d.i</w:t>
      </w:r>
      <w:proofErr w:type="spellEnd"/>
      <w:r w:rsidRPr="000E2B93">
        <w:rPr>
          <w:rFonts w:ascii="Times New Roman" w:hAnsi="Times New Roman" w:cs="Times New Roman"/>
          <w:sz w:val="24"/>
          <w:szCs w:val="24"/>
        </w:rPr>
        <w:t xml:space="preserve">. è divenuto inefficace. </w:t>
      </w:r>
      <w:r w:rsidRPr="000E2B93">
        <w:rPr>
          <w:rFonts w:ascii="Times New Roman" w:hAnsi="Times New Roman" w:cs="Times New Roman"/>
          <w:i/>
          <w:sz w:val="24"/>
          <w:szCs w:val="24"/>
        </w:rPr>
        <w:t xml:space="preserve">Quid </w:t>
      </w:r>
      <w:proofErr w:type="spellStart"/>
      <w:r w:rsidRPr="000E2B93">
        <w:rPr>
          <w:rFonts w:ascii="Times New Roman" w:hAnsi="Times New Roman" w:cs="Times New Roman"/>
          <w:i/>
          <w:sz w:val="24"/>
          <w:szCs w:val="24"/>
        </w:rPr>
        <w:t>iuris</w:t>
      </w:r>
      <w:proofErr w:type="spellEnd"/>
      <w:r w:rsidRPr="000E2B93">
        <w:rPr>
          <w:rFonts w:ascii="Times New Roman" w:hAnsi="Times New Roman" w:cs="Times New Roman"/>
          <w:sz w:val="24"/>
          <w:szCs w:val="24"/>
        </w:rPr>
        <w:t>?</w:t>
      </w:r>
    </w:p>
    <w:p w:rsidR="000E2B93" w:rsidRPr="000E2B93" w:rsidRDefault="000E2B93" w:rsidP="000E2B93">
      <w:pPr>
        <w:pStyle w:val="Paragrafoelenco"/>
        <w:autoSpaceDE w:val="0"/>
        <w:autoSpaceDN w:val="0"/>
        <w:adjustRightInd w:val="0"/>
        <w:spacing w:after="0" w:line="360" w:lineRule="auto"/>
        <w:jc w:val="both"/>
        <w:rPr>
          <w:rFonts w:ascii="Times New Roman" w:hAnsi="Times New Roman" w:cs="Times New Roman"/>
          <w:sz w:val="24"/>
          <w:szCs w:val="24"/>
        </w:rPr>
      </w:pPr>
    </w:p>
    <w:p w:rsidR="00C31EE8" w:rsidRPr="000E2B93" w:rsidRDefault="00EF2FE1" w:rsidP="000007D0">
      <w:pPr>
        <w:pStyle w:val="Paragrafoelenco"/>
        <w:numPr>
          <w:ilvl w:val="0"/>
          <w:numId w:val="3"/>
        </w:numPr>
        <w:spacing w:line="360" w:lineRule="auto"/>
        <w:jc w:val="both"/>
        <w:rPr>
          <w:rFonts w:ascii="Times New Roman" w:hAnsi="Times New Roman" w:cs="Times New Roman"/>
          <w:sz w:val="24"/>
          <w:szCs w:val="24"/>
        </w:rPr>
      </w:pPr>
      <w:r w:rsidRPr="000E2B93">
        <w:rPr>
          <w:rFonts w:ascii="Times New Roman" w:hAnsi="Times New Roman" w:cs="Times New Roman"/>
          <w:sz w:val="24"/>
          <w:szCs w:val="24"/>
        </w:rPr>
        <w:lastRenderedPageBreak/>
        <w:t>Tizio stipula un</w:t>
      </w:r>
      <w:bookmarkStart w:id="0" w:name="_GoBack"/>
      <w:bookmarkEnd w:id="0"/>
      <w:r w:rsidRPr="000E2B93">
        <w:rPr>
          <w:rFonts w:ascii="Times New Roman" w:hAnsi="Times New Roman" w:cs="Times New Roman"/>
          <w:sz w:val="24"/>
          <w:szCs w:val="24"/>
        </w:rPr>
        <w:t xml:space="preserve"> contratto di fideiussione con la banca Gamma a garanzia delle obbligazioni assunte dalla società Delta, di cui Tizio non è né socio, né amministratore. Rimasto inadempiuto il debito, l’istituto di credito escute la garanzia ma senza esito, onde agisce per vie monitorie </w:t>
      </w:r>
      <w:r w:rsidR="000007D0" w:rsidRPr="000E2B93">
        <w:rPr>
          <w:rFonts w:ascii="Times New Roman" w:hAnsi="Times New Roman" w:cs="Times New Roman"/>
          <w:sz w:val="24"/>
          <w:szCs w:val="24"/>
        </w:rPr>
        <w:t xml:space="preserve">davanti al Tribunale di Padova </w:t>
      </w:r>
      <w:r w:rsidRPr="000E2B93">
        <w:rPr>
          <w:rFonts w:ascii="Times New Roman" w:hAnsi="Times New Roman" w:cs="Times New Roman"/>
          <w:sz w:val="24"/>
          <w:szCs w:val="24"/>
        </w:rPr>
        <w:t xml:space="preserve">ottenendo un decreto ingiuntivo in danno del fideiussore Tizio, decreto che non viene opposto. La banca decide allora di agire esecutivamente e, a tal fine, pignora un immobile di proprietà di Tizio sito in Padova. </w:t>
      </w:r>
    </w:p>
    <w:p w:rsidR="00C31EE8" w:rsidRPr="000E2B93" w:rsidRDefault="00C31EE8" w:rsidP="00C31EE8">
      <w:pPr>
        <w:pStyle w:val="Paragrafoelenco"/>
        <w:spacing w:line="360" w:lineRule="auto"/>
        <w:jc w:val="both"/>
        <w:rPr>
          <w:rFonts w:ascii="Times New Roman" w:hAnsi="Times New Roman" w:cs="Times New Roman"/>
          <w:sz w:val="24"/>
          <w:szCs w:val="24"/>
        </w:rPr>
      </w:pPr>
      <w:r w:rsidRPr="000E2B93">
        <w:rPr>
          <w:rFonts w:ascii="Times New Roman" w:hAnsi="Times New Roman" w:cs="Times New Roman"/>
          <w:sz w:val="24"/>
          <w:szCs w:val="24"/>
        </w:rPr>
        <w:t>Venuto</w:t>
      </w:r>
      <w:r w:rsidR="00EF2FE1" w:rsidRPr="000E2B93">
        <w:rPr>
          <w:rFonts w:ascii="Times New Roman" w:hAnsi="Times New Roman" w:cs="Times New Roman"/>
          <w:sz w:val="24"/>
          <w:szCs w:val="24"/>
        </w:rPr>
        <w:t xml:space="preserve"> a conoscenza </w:t>
      </w:r>
      <w:r w:rsidR="000007D0" w:rsidRPr="000E2B93">
        <w:rPr>
          <w:rFonts w:ascii="Times New Roman" w:hAnsi="Times New Roman" w:cs="Times New Roman"/>
          <w:sz w:val="24"/>
          <w:szCs w:val="24"/>
        </w:rPr>
        <w:t>dell’</w:t>
      </w:r>
      <w:r w:rsidR="00EF2FE1" w:rsidRPr="000E2B93">
        <w:rPr>
          <w:rFonts w:ascii="Times New Roman" w:hAnsi="Times New Roman" w:cs="Times New Roman"/>
          <w:sz w:val="24"/>
          <w:szCs w:val="24"/>
        </w:rPr>
        <w:t xml:space="preserve">esecuzione immobiliare </w:t>
      </w:r>
      <w:r w:rsidR="00EF2FE1" w:rsidRPr="000E2B93">
        <w:rPr>
          <w:rFonts w:ascii="Times New Roman" w:hAnsi="Times New Roman" w:cs="Times New Roman"/>
          <w:i/>
          <w:sz w:val="24"/>
          <w:szCs w:val="24"/>
        </w:rPr>
        <w:t>de qua</w:t>
      </w:r>
      <w:r w:rsidR="00EF2FE1" w:rsidRPr="000E2B93">
        <w:rPr>
          <w:rFonts w:ascii="Times New Roman" w:hAnsi="Times New Roman" w:cs="Times New Roman"/>
          <w:sz w:val="24"/>
          <w:szCs w:val="24"/>
        </w:rPr>
        <w:t xml:space="preserve">, un creditore di Tizio decide di intervenire in forza di una scrittura privata autenticata. Successivamente Tizio propone opposizione all’esecuzione nei confronti della banca Gamma, contestando il titolo di quest’ultima, segnatamente deducendo la nullità del decreto ingiuntivo in quanto emesso da giudice incompetente, posto che la clausola derogativa della competenza in favore del giudice che ha emesso il </w:t>
      </w:r>
      <w:proofErr w:type="spellStart"/>
      <w:r w:rsidR="00EF2FE1" w:rsidRPr="000E2B93">
        <w:rPr>
          <w:rFonts w:ascii="Times New Roman" w:hAnsi="Times New Roman" w:cs="Times New Roman"/>
          <w:sz w:val="24"/>
          <w:szCs w:val="24"/>
        </w:rPr>
        <w:t>d.i</w:t>
      </w:r>
      <w:proofErr w:type="spellEnd"/>
      <w:r w:rsidR="00EF2FE1" w:rsidRPr="000E2B93">
        <w:rPr>
          <w:rFonts w:ascii="Times New Roman" w:hAnsi="Times New Roman" w:cs="Times New Roman"/>
          <w:sz w:val="24"/>
          <w:szCs w:val="24"/>
        </w:rPr>
        <w:t xml:space="preserve">. contenuta nel contratto di fideiussione è da ritenersi abusiva poiché viola il foro del consumatore. </w:t>
      </w:r>
    </w:p>
    <w:p w:rsidR="000007D0" w:rsidRPr="000E2B93" w:rsidRDefault="00EF2FE1" w:rsidP="00C31EE8">
      <w:pPr>
        <w:pStyle w:val="Paragrafoelenco"/>
        <w:spacing w:line="360" w:lineRule="auto"/>
        <w:jc w:val="both"/>
        <w:rPr>
          <w:rFonts w:ascii="Times New Roman" w:hAnsi="Times New Roman" w:cs="Times New Roman"/>
          <w:sz w:val="24"/>
          <w:szCs w:val="24"/>
        </w:rPr>
      </w:pPr>
      <w:r w:rsidRPr="000E2B93">
        <w:rPr>
          <w:rFonts w:ascii="Times New Roman" w:hAnsi="Times New Roman" w:cs="Times New Roman"/>
          <w:sz w:val="24"/>
          <w:szCs w:val="24"/>
        </w:rPr>
        <w:t xml:space="preserve">La banca si difende sostenendo che Tizio avrebbe dovuto far valere la nullità con il mezzo dell’opposizione a decreto ingiuntivo ai sensi dell’art. 645 c.p.c., con ciò invocando l’efficacia </w:t>
      </w:r>
      <w:r w:rsidR="000007D0" w:rsidRPr="000E2B93">
        <w:rPr>
          <w:rFonts w:ascii="Times New Roman" w:hAnsi="Times New Roman" w:cs="Times New Roman"/>
          <w:sz w:val="24"/>
          <w:szCs w:val="24"/>
        </w:rPr>
        <w:t>di</w:t>
      </w:r>
      <w:r w:rsidRPr="000E2B93">
        <w:rPr>
          <w:rFonts w:ascii="Times New Roman" w:hAnsi="Times New Roman" w:cs="Times New Roman"/>
          <w:sz w:val="24"/>
          <w:szCs w:val="24"/>
        </w:rPr>
        <w:t xml:space="preserve"> giudicato prodotta dal </w:t>
      </w:r>
      <w:proofErr w:type="spellStart"/>
      <w:r w:rsidRPr="000E2B93">
        <w:rPr>
          <w:rFonts w:ascii="Times New Roman" w:hAnsi="Times New Roman" w:cs="Times New Roman"/>
          <w:sz w:val="24"/>
          <w:szCs w:val="24"/>
        </w:rPr>
        <w:t>d.i</w:t>
      </w:r>
      <w:proofErr w:type="spellEnd"/>
      <w:r w:rsidRPr="000E2B93">
        <w:rPr>
          <w:rFonts w:ascii="Times New Roman" w:hAnsi="Times New Roman" w:cs="Times New Roman"/>
          <w:sz w:val="24"/>
          <w:szCs w:val="24"/>
        </w:rPr>
        <w:t xml:space="preserve">. non opposto, suscettiva di produrre la preclusione del dedotto e del deducibile non dedotto. </w:t>
      </w:r>
    </w:p>
    <w:p w:rsidR="00EF2FE1" w:rsidRPr="000E2B93" w:rsidRDefault="00EF2FE1" w:rsidP="000007D0">
      <w:pPr>
        <w:pStyle w:val="Paragrafoelenco"/>
        <w:spacing w:line="360" w:lineRule="auto"/>
        <w:jc w:val="both"/>
        <w:rPr>
          <w:rFonts w:ascii="Times New Roman" w:hAnsi="Times New Roman" w:cs="Times New Roman"/>
          <w:sz w:val="24"/>
          <w:szCs w:val="24"/>
        </w:rPr>
      </w:pPr>
      <w:r w:rsidRPr="000E2B93">
        <w:rPr>
          <w:rFonts w:ascii="Times New Roman" w:hAnsi="Times New Roman" w:cs="Times New Roman"/>
          <w:sz w:val="24"/>
          <w:szCs w:val="24"/>
        </w:rPr>
        <w:t>È fondata la difesa della banca?</w:t>
      </w:r>
    </w:p>
    <w:p w:rsidR="000007D0" w:rsidRPr="000E2B93" w:rsidRDefault="000007D0"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051F4C" w:rsidRPr="000E2B93" w:rsidRDefault="00051F4C" w:rsidP="000007D0">
      <w:pPr>
        <w:pStyle w:val="Paragrafoelenco"/>
        <w:spacing w:line="360" w:lineRule="auto"/>
        <w:jc w:val="both"/>
        <w:rPr>
          <w:rFonts w:ascii="Times New Roman" w:hAnsi="Times New Roman" w:cs="Times New Roman"/>
          <w:sz w:val="24"/>
          <w:szCs w:val="24"/>
        </w:rPr>
      </w:pPr>
    </w:p>
    <w:p w:rsidR="00C9103D" w:rsidRPr="000E2B93" w:rsidRDefault="00C9103D">
      <w:pPr>
        <w:rPr>
          <w:sz w:val="24"/>
          <w:szCs w:val="24"/>
        </w:rPr>
      </w:pPr>
    </w:p>
    <w:sectPr w:rsidR="00C9103D" w:rsidRPr="000E2B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C660355"/>
    <w:multiLevelType w:val="hybridMultilevel"/>
    <w:tmpl w:val="6F1014FE"/>
    <w:lvl w:ilvl="0" w:tplc="1696C35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2F498F"/>
    <w:multiLevelType w:val="hybridMultilevel"/>
    <w:tmpl w:val="EB34BC44"/>
    <w:lvl w:ilvl="0" w:tplc="FADC5730">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C64A34"/>
    <w:multiLevelType w:val="hybridMultilevel"/>
    <w:tmpl w:val="1C7AE0BA"/>
    <w:lvl w:ilvl="0" w:tplc="E802321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3E"/>
    <w:rsid w:val="000007D0"/>
    <w:rsid w:val="00051F4C"/>
    <w:rsid w:val="000C5B5B"/>
    <w:rsid w:val="000E2B93"/>
    <w:rsid w:val="00292B94"/>
    <w:rsid w:val="004D6597"/>
    <w:rsid w:val="006E7E18"/>
    <w:rsid w:val="00890EF2"/>
    <w:rsid w:val="00B8273E"/>
    <w:rsid w:val="00C31EE8"/>
    <w:rsid w:val="00C9103D"/>
    <w:rsid w:val="00EF2F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D767"/>
  <w15:chartTrackingRefBased/>
  <w15:docId w15:val="{E6F84161-8800-439F-907D-907277E8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2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pilloni</dc:creator>
  <cp:keywords/>
  <dc:description/>
  <cp:lastModifiedBy>pilloni</cp:lastModifiedBy>
  <cp:revision>3</cp:revision>
  <dcterms:created xsi:type="dcterms:W3CDTF">2024-11-29T14:17:00Z</dcterms:created>
  <dcterms:modified xsi:type="dcterms:W3CDTF">2024-11-29T14:22:00Z</dcterms:modified>
</cp:coreProperties>
</file>